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EE2D3" w14:textId="74AA8E7C" w:rsidR="00306D9F" w:rsidRDefault="00000000" w:rsidP="00306D9F">
      <w:pPr>
        <w:jc w:val="both"/>
        <w:rPr>
          <w:rFonts w:ascii="Arial" w:hAnsi="Arial" w:cs="Arial"/>
          <w:b/>
          <w:bCs/>
          <w:color w:val="4F81BD" w:themeColor="accent1"/>
          <w:u w:val="single"/>
          <w:lang w:val="pt-BR"/>
        </w:rPr>
      </w:pPr>
      <w:r w:rsidRPr="00306D9F">
        <w:rPr>
          <w:rFonts w:ascii="Arial" w:hAnsi="Arial" w:cs="Arial"/>
          <w:b/>
          <w:bCs/>
          <w:color w:val="4F81BD" w:themeColor="accent1"/>
          <w:u w:val="single"/>
          <w:lang w:val="pt-BR"/>
        </w:rPr>
        <w:t>Sobre este modelo de documento CCS e como utilizá-lo</w:t>
      </w:r>
    </w:p>
    <w:p w14:paraId="72F54069" w14:textId="2C7AD878" w:rsidR="00306D9F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306D9F">
        <w:rPr>
          <w:rFonts w:ascii="Arial" w:hAnsi="Arial" w:cs="Arial"/>
          <w:lang w:val="pt-BR"/>
        </w:rPr>
        <w:br/>
      </w:r>
      <w:r w:rsidRPr="00306D9F">
        <w:rPr>
          <w:rFonts w:ascii="Arial" w:hAnsi="Arial" w:cs="Arial"/>
          <w:color w:val="4F81BD" w:themeColor="accent1"/>
          <w:lang w:val="pt-BR"/>
        </w:rPr>
        <w:t xml:space="preserve">Este modelo destina-se a apoiar a documentação da estratégia CCS. Não é uma instrução sobre como desenvolver e implementar a estratégia CCS </w:t>
      </w:r>
      <w:r w:rsidR="00F80960" w:rsidRPr="00306D9F">
        <w:rPr>
          <w:rFonts w:ascii="Arial" w:hAnsi="Arial" w:cs="Arial"/>
          <w:color w:val="4F81BD" w:themeColor="accent1"/>
          <w:lang w:val="pt-BR"/>
        </w:rPr>
        <w:t>embora</w:t>
      </w:r>
      <w:r w:rsidR="00F80960">
        <w:rPr>
          <w:rFonts w:ascii="Arial" w:hAnsi="Arial" w:cs="Arial"/>
          <w:color w:val="4F81BD" w:themeColor="accent1"/>
          <w:lang w:val="pt-BR"/>
        </w:rPr>
        <w:t>,</w:t>
      </w:r>
      <w:r w:rsidR="00F80960" w:rsidRPr="00306D9F">
        <w:rPr>
          <w:rFonts w:ascii="Arial" w:hAnsi="Arial" w:cs="Arial"/>
          <w:color w:val="4F81BD" w:themeColor="accent1"/>
          <w:lang w:val="pt-BR"/>
        </w:rPr>
        <w:t xml:space="preserve"> implicitamente</w:t>
      </w:r>
      <w:r w:rsidR="00306D9F">
        <w:rPr>
          <w:rFonts w:ascii="Arial" w:hAnsi="Arial" w:cs="Arial"/>
          <w:color w:val="4F81BD" w:themeColor="accent1"/>
          <w:lang w:val="pt-BR"/>
        </w:rPr>
        <w:t>,</w:t>
      </w:r>
      <w:r w:rsidRPr="00306D9F">
        <w:rPr>
          <w:rFonts w:ascii="Arial" w:hAnsi="Arial" w:cs="Arial"/>
          <w:color w:val="4F81BD" w:themeColor="accent1"/>
          <w:lang w:val="pt-BR"/>
        </w:rPr>
        <w:t xml:space="preserve"> etapas essenciais para sua implementação possam ser deduzidas deste documento.</w:t>
      </w:r>
      <w:r w:rsidRPr="00306D9F">
        <w:rPr>
          <w:rFonts w:ascii="Arial" w:hAnsi="Arial" w:cs="Arial"/>
          <w:color w:val="4F81BD" w:themeColor="accent1"/>
          <w:lang w:val="pt-BR"/>
        </w:rPr>
        <w:br/>
      </w:r>
      <w:r w:rsidRPr="00306D9F">
        <w:rPr>
          <w:rFonts w:ascii="Arial" w:hAnsi="Arial" w:cs="Arial"/>
          <w:color w:val="4F81BD" w:themeColor="accent1"/>
          <w:lang w:val="pt-BR"/>
        </w:rPr>
        <w:br/>
        <w:t>A experiência mostra que, embora um CCS bem elaborado possa ser implementado, pode ser desafiador encontrar ou identificar o documento onde as informações específicas estão registradas, declaradas ou definidas. A compilação dos elementos do CCS neste documento deve ser holística e de visão geral.</w:t>
      </w:r>
    </w:p>
    <w:p w14:paraId="3258D6E9" w14:textId="77777777" w:rsidR="00306D9F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1B30F1">
        <w:rPr>
          <w:rFonts w:ascii="Arial" w:hAnsi="Arial" w:cs="Arial"/>
          <w:b/>
          <w:bCs/>
          <w:color w:val="4F81BD" w:themeColor="accent1"/>
          <w:lang w:val="pt-BR"/>
        </w:rPr>
        <w:t>Nota:</w:t>
      </w:r>
      <w:r w:rsidRPr="00306D9F">
        <w:rPr>
          <w:rFonts w:ascii="Arial" w:hAnsi="Arial" w:cs="Arial"/>
          <w:color w:val="4F81BD" w:themeColor="accent1"/>
          <w:lang w:val="pt-BR"/>
        </w:rPr>
        <w:t xml:space="preserve"> Para empresas maiores, por exemplo, com um extenso portfólio de produtos, pode ser aconselhável criar apêndices em vez de listar todas as informações no documento CCS.</w:t>
      </w:r>
    </w:p>
    <w:p w14:paraId="3E2518F7" w14:textId="77777777" w:rsidR="001B30F1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306D9F">
        <w:rPr>
          <w:rFonts w:ascii="Arial" w:hAnsi="Arial" w:cs="Arial"/>
          <w:color w:val="4F81BD" w:themeColor="accent1"/>
          <w:lang w:val="pt-BR"/>
        </w:rPr>
        <w:t xml:space="preserve">Assim como um </w:t>
      </w:r>
      <w:r w:rsidRPr="001B30F1">
        <w:rPr>
          <w:rFonts w:ascii="Arial" w:hAnsi="Arial" w:cs="Arial"/>
          <w:b/>
          <w:bCs/>
          <w:color w:val="4F81BD" w:themeColor="accent1"/>
          <w:lang w:val="pt-BR"/>
        </w:rPr>
        <w:t>Site Master File</w:t>
      </w:r>
      <w:r w:rsidRPr="00306D9F">
        <w:rPr>
          <w:rFonts w:ascii="Arial" w:hAnsi="Arial" w:cs="Arial"/>
          <w:color w:val="4F81BD" w:themeColor="accent1"/>
          <w:lang w:val="pt-BR"/>
        </w:rPr>
        <w:t xml:space="preserve"> (SMF), este documento CCS precisa ser mantido atualizado, mas não deve ser revisado apenas devido à emissão de novas versões de POPs citadas.</w:t>
      </w:r>
    </w:p>
    <w:p w14:paraId="200AE146" w14:textId="77777777" w:rsidR="001B30F1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306D9F">
        <w:rPr>
          <w:rFonts w:ascii="Arial" w:hAnsi="Arial" w:cs="Arial"/>
          <w:color w:val="4F81BD" w:themeColor="accent1"/>
          <w:lang w:val="pt-BR"/>
        </w:rPr>
        <w:br/>
        <w:t>Embora não seja explicitamente exigido no Anexo 1, o documento CCS deve ser controlado, portanto, requer aprovação. O modelo contém uma seção de assinatura na primeira página.</w:t>
      </w:r>
    </w:p>
    <w:p w14:paraId="6359A49A" w14:textId="373E519D" w:rsidR="001B30F1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306D9F">
        <w:rPr>
          <w:rFonts w:ascii="Arial" w:hAnsi="Arial" w:cs="Arial"/>
          <w:color w:val="4F81BD" w:themeColor="accent1"/>
          <w:lang w:val="pt-BR"/>
        </w:rPr>
        <w:br/>
        <w:t xml:space="preserve">O documento CCS orienta o leitor para as respectivas Avaliações de Risco (AR), relatórios, POPs e outros documentos relevantes, devendo cobrir o objetivo principal desses documentos, mas </w:t>
      </w:r>
      <w:r w:rsidR="001B30F1">
        <w:rPr>
          <w:rFonts w:ascii="Arial" w:hAnsi="Arial" w:cs="Arial"/>
          <w:color w:val="4F81BD" w:themeColor="accent1"/>
          <w:lang w:val="pt-BR"/>
        </w:rPr>
        <w:t>-</w:t>
      </w:r>
      <w:r w:rsidRPr="00306D9F">
        <w:rPr>
          <w:rFonts w:ascii="Arial" w:hAnsi="Arial" w:cs="Arial"/>
          <w:color w:val="4F81BD" w:themeColor="accent1"/>
          <w:lang w:val="pt-BR"/>
        </w:rPr>
        <w:t xml:space="preserve"> para evitar inconsistências </w:t>
      </w:r>
      <w:r w:rsidR="001B30F1">
        <w:rPr>
          <w:rFonts w:ascii="Arial" w:hAnsi="Arial" w:cs="Arial"/>
          <w:color w:val="4F81BD" w:themeColor="accent1"/>
          <w:lang w:val="pt-BR"/>
        </w:rPr>
        <w:t>-</w:t>
      </w:r>
      <w:r w:rsidRPr="00306D9F">
        <w:rPr>
          <w:rFonts w:ascii="Arial" w:hAnsi="Arial" w:cs="Arial"/>
          <w:color w:val="4F81BD" w:themeColor="accent1"/>
          <w:lang w:val="pt-BR"/>
        </w:rPr>
        <w:t xml:space="preserve"> não repetir ou resumir detalhadamente o conteúdo dos documentos de origem.</w:t>
      </w:r>
    </w:p>
    <w:p w14:paraId="2D828602" w14:textId="7FCF5094" w:rsidR="001B30F1" w:rsidRDefault="00000000" w:rsidP="00306D9F">
      <w:pPr>
        <w:jc w:val="both"/>
        <w:rPr>
          <w:rFonts w:ascii="Arial" w:hAnsi="Arial" w:cs="Arial"/>
          <w:color w:val="4F81BD" w:themeColor="accent1"/>
          <w:lang w:val="pt-BR"/>
        </w:rPr>
      </w:pPr>
      <w:r w:rsidRPr="00306D9F">
        <w:rPr>
          <w:rFonts w:ascii="Arial" w:hAnsi="Arial" w:cs="Arial"/>
          <w:color w:val="4F81BD" w:themeColor="accent1"/>
          <w:lang w:val="pt-BR"/>
        </w:rPr>
        <w:br/>
        <w:t>Para as Seções 1–16, sugere-se o uso de tabelas sempre que possível. Subseções foram adicionadas para permitir mais detalhes (por exemplo, a Seção 5 “Utilidades” foi subdividida em “água”, “vapor”, “gases”). Se outras subseções forem necessárias, elas podem ser adicionadas; se menos forem suficientes, podem ser excluídas.</w:t>
      </w:r>
    </w:p>
    <w:p w14:paraId="45DE3DDD" w14:textId="77777777" w:rsidR="001B30F1" w:rsidRPr="001B30F1" w:rsidRDefault="00000000" w:rsidP="00306D9F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1B30F1">
        <w:rPr>
          <w:rFonts w:ascii="Arial" w:hAnsi="Arial" w:cs="Arial"/>
          <w:b/>
          <w:bCs/>
          <w:color w:val="4F81BD" w:themeColor="accent1"/>
          <w:lang w:val="pt-BR"/>
        </w:rPr>
        <w:t>Dicas sobre a formatação:</w:t>
      </w:r>
    </w:p>
    <w:p w14:paraId="5E7E304C" w14:textId="21547174" w:rsidR="001B30F1" w:rsidRPr="001B30F1" w:rsidRDefault="00000000" w:rsidP="001B30F1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1B30F1">
        <w:rPr>
          <w:rFonts w:ascii="Arial" w:hAnsi="Arial" w:cs="Arial"/>
          <w:color w:val="4F81BD" w:themeColor="accent1"/>
          <w:lang w:val="pt-BR"/>
        </w:rPr>
        <w:t>Texto em azul no modelo é explicativo e fornece sugestões. Não deve permanecer no CCS final.</w:t>
      </w:r>
    </w:p>
    <w:p w14:paraId="3BFB5C21" w14:textId="40EC3669" w:rsidR="001B30F1" w:rsidRPr="001B30F1" w:rsidRDefault="00000000" w:rsidP="001B30F1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1B30F1">
        <w:rPr>
          <w:rFonts w:ascii="Arial" w:hAnsi="Arial" w:cs="Arial"/>
          <w:color w:val="4F81BD" w:themeColor="accent1"/>
          <w:lang w:val="pt-BR"/>
        </w:rPr>
        <w:t>Texto citado do Anexo 1 está em fonte Times New Roman.</w:t>
      </w:r>
    </w:p>
    <w:p w14:paraId="2BE3D60C" w14:textId="5B2C4F07" w:rsidR="001B30F1" w:rsidRPr="001B30F1" w:rsidRDefault="00000000" w:rsidP="001B30F1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1B30F1">
        <w:rPr>
          <w:rFonts w:ascii="Arial" w:hAnsi="Arial" w:cs="Arial"/>
          <w:color w:val="4F81BD" w:themeColor="accent1"/>
          <w:lang w:val="pt-BR"/>
        </w:rPr>
        <w:t>Texto em preto pode ser considerado “texto sugerido”, passível de adoção, adaptação ou modificação conforme necessário.</w:t>
      </w:r>
    </w:p>
    <w:p w14:paraId="47DE2930" w14:textId="5E974BD8" w:rsidR="005A32ED" w:rsidRPr="00306D9F" w:rsidRDefault="005A32ED" w:rsidP="00306D9F">
      <w:pPr>
        <w:jc w:val="both"/>
        <w:rPr>
          <w:rFonts w:ascii="Arial" w:hAnsi="Arial" w:cs="Arial"/>
          <w:lang w:val="pt-BR"/>
        </w:rPr>
      </w:pPr>
    </w:p>
    <w:p w14:paraId="0FE72D2C" w14:textId="7EBEB930" w:rsidR="001B30F1" w:rsidRPr="001B30F1" w:rsidRDefault="00000000" w:rsidP="00306D9F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306D9F">
        <w:rPr>
          <w:rFonts w:ascii="Arial" w:hAnsi="Arial" w:cs="Arial"/>
          <w:lang w:val="pt-BR"/>
        </w:rPr>
        <w:lastRenderedPageBreak/>
        <w:br/>
      </w:r>
      <w:r w:rsidRPr="001B30F1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0. Introdução</w:t>
      </w:r>
    </w:p>
    <w:p w14:paraId="1E5DB714" w14:textId="77777777" w:rsidR="001B30F1" w:rsidRPr="001B30F1" w:rsidRDefault="00000000" w:rsidP="001B30F1">
      <w:pPr>
        <w:jc w:val="both"/>
        <w:rPr>
          <w:rFonts w:ascii="Arial" w:hAnsi="Arial" w:cs="Arial"/>
          <w:lang w:val="pt-BR"/>
        </w:rPr>
      </w:pPr>
      <w:r w:rsidRPr="00306D9F">
        <w:rPr>
          <w:rFonts w:ascii="Arial" w:hAnsi="Arial" w:cs="Arial"/>
          <w:lang w:val="pt-BR"/>
        </w:rPr>
        <w:br/>
      </w:r>
      <w:r w:rsidR="001B30F1" w:rsidRPr="001B30F1">
        <w:rPr>
          <w:rFonts w:ascii="Arial" w:hAnsi="Arial" w:cs="Arial"/>
          <w:lang w:val="pt-BR"/>
        </w:rPr>
        <w:t>Este documento baseia-se no Anexo 1, que exige o desenvolvimento de uma Estratégia de Controle de Contaminação (CCS) com base nos seguintes princípios (conforme citado no Anexo 1):</w:t>
      </w:r>
    </w:p>
    <w:p w14:paraId="5970B039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“O desenvolvimento do CCS requer conhecimento técnico e de processo aprofundado. As fontes potenciais de contaminação são atribuídas a detritos microbianos e celulares (por exemplo, pirógenos, endotoxinas), bem como a material particulado (por exemplo, vidro e outras partículas visíveis e subvisíveis).”</w:t>
      </w:r>
    </w:p>
    <w:p w14:paraId="53255D89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</w:p>
    <w:p w14:paraId="5B824103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Os elementos a serem considerados estão listados no Anexo 1:</w:t>
      </w:r>
    </w:p>
    <w:p w14:paraId="2F04EDAD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</w:p>
    <w:p w14:paraId="6B1EDAAA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i. Projeto tanto da planta quanto dos processos.</w:t>
      </w:r>
    </w:p>
    <w:p w14:paraId="19B79D47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ii. Instalações e equipamentos.</w:t>
      </w:r>
    </w:p>
    <w:p w14:paraId="34196776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iii. Nenhum item mencionado sob este número.</w:t>
      </w:r>
    </w:p>
    <w:p w14:paraId="4DA2FC53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iv. Pessoal.</w:t>
      </w:r>
    </w:p>
    <w:p w14:paraId="00B6C98F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v. Utilidades.</w:t>
      </w:r>
    </w:p>
    <w:p w14:paraId="7F5F1869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vi. Controle de matérias-primas – incluindo controles em processo.</w:t>
      </w:r>
    </w:p>
    <w:p w14:paraId="7E386D73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vii. Recipientes e sistemas de fechamento de produtos.</w:t>
      </w:r>
    </w:p>
    <w:p w14:paraId="55CBE384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viii. Aprovação de fornecedores, incluindo fornecedores de componentes-chave, esterilização de componentes e sistemas de uso único (SUS), e serviços.</w:t>
      </w:r>
    </w:p>
    <w:p w14:paraId="09E419D8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ix. Para serviços terceirizados, como esterilização, devem ser fornecidas evidências suficientes ao contratante para garantir que o processo esteja operando corretamente.</w:t>
      </w:r>
    </w:p>
    <w:p w14:paraId="0EC0339C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x. Avaliação de risco do processo.</w:t>
      </w:r>
    </w:p>
    <w:p w14:paraId="7E88ADBA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xi. Validação de processo.</w:t>
      </w:r>
    </w:p>
    <w:p w14:paraId="5C7DB267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xii. Manutenção preventiva – manutenção de equipamentos, utilidades e instalações (planejada e não planejada) em um padrão que não adicione risco significativo de contaminação.</w:t>
      </w:r>
    </w:p>
    <w:p w14:paraId="5D3200BE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xiii. Limpeza e desinfecção.</w:t>
      </w:r>
    </w:p>
    <w:p w14:paraId="6253655E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xiv. Sistemas de monitoramento – incluindo a avaliação da viabilidade de introduzir métodos modernos e cientificamente sólidos que otimizem a detecção de contaminação ambiental.</w:t>
      </w:r>
    </w:p>
    <w:p w14:paraId="3464BA04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lastRenderedPageBreak/>
        <w:t>xv. Prevenção – acompanhamento de tendências, investigação, ações corretivas e preventivas (CAPA), determinação de causa raiz e necessidade de ferramentas de investigação mais abrangentes.</w:t>
      </w:r>
    </w:p>
    <w:p w14:paraId="1740F064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xvi. Melhoria contínua com base nas informações derivadas dos itens acima.</w:t>
      </w:r>
    </w:p>
    <w:p w14:paraId="71D1BB30" w14:textId="304C130C" w:rsidR="005A32ED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xvii. Adicionar outros elementos que sejam aplicáveis</w:t>
      </w:r>
    </w:p>
    <w:p w14:paraId="5F3A857E" w14:textId="77777777" w:rsidR="001B30F1" w:rsidRDefault="001B30F1" w:rsidP="001B30F1">
      <w:pPr>
        <w:jc w:val="both"/>
        <w:rPr>
          <w:rFonts w:ascii="Arial" w:hAnsi="Arial" w:cs="Arial"/>
          <w:lang w:val="pt-BR"/>
        </w:rPr>
      </w:pPr>
    </w:p>
    <w:p w14:paraId="60F8048A" w14:textId="65D7A506" w:rsid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Este documento de CCS resume como nossa empresa abordou cada um dos elementos e como mantemos o padrão para garantir um nível adequado de controle de contaminação.</w:t>
      </w:r>
      <w:r w:rsidRPr="001B30F1">
        <w:rPr>
          <w:rFonts w:ascii="Arial" w:hAnsi="Arial" w:cs="Arial"/>
          <w:lang w:val="pt-BR"/>
        </w:rPr>
        <w:br/>
        <w:t>Este documento considera a avaliação de risco da qualidade e a abordagem geral para o gerenciamento da contaminação microbiológica, particulada e cruzada dos produtos fabricados nos locais.</w:t>
      </w:r>
      <w:r w:rsidR="0068039B">
        <w:rPr>
          <w:rFonts w:ascii="Arial" w:hAnsi="Arial" w:cs="Arial"/>
          <w:lang w:val="pt-BR"/>
        </w:rPr>
        <w:t xml:space="preserve"> Para documentos relevantes, os quais os detalhes estão definidos e documentos e para evitar erros, o CCS não repete os detalhes providos nesses documentos.</w:t>
      </w:r>
    </w:p>
    <w:p w14:paraId="378C98F5" w14:textId="77777777" w:rsidR="001B30F1" w:rsidRP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>Para facilitar a leitura e o entendimento do documento, este segue algumas regras:</w:t>
      </w:r>
    </w:p>
    <w:p w14:paraId="27D4BA4F" w14:textId="77777777" w:rsidR="001B30F1" w:rsidRPr="001B30F1" w:rsidRDefault="001B30F1" w:rsidP="001B30F1">
      <w:pPr>
        <w:numPr>
          <w:ilvl w:val="0"/>
          <w:numId w:val="11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1B30F1">
        <w:rPr>
          <w:rFonts w:ascii="Arial" w:hAnsi="Arial" w:cs="Arial"/>
          <w:b/>
          <w:bCs/>
          <w:lang w:val="pt-BR"/>
        </w:rPr>
        <w:t>Para manter a referência aparente aos Elementos mencionados no Anexo 1</w:t>
      </w:r>
      <w:r w:rsidRPr="001B30F1">
        <w:rPr>
          <w:rFonts w:ascii="Arial" w:hAnsi="Arial" w:cs="Arial"/>
          <w:lang w:val="pt-BR"/>
        </w:rPr>
        <w:t xml:space="preserve">, a numeração das Seções 1 a 16 refere-se precisamente aos números dos elementos. </w:t>
      </w:r>
      <w:r w:rsidRPr="001B30F1">
        <w:rPr>
          <w:rFonts w:ascii="Arial" w:hAnsi="Arial" w:cs="Arial"/>
          <w:i/>
          <w:iCs/>
          <w:color w:val="4F81BD" w:themeColor="accent1"/>
          <w:lang w:val="pt-BR"/>
        </w:rPr>
        <w:t>Quando relevante, subseções podem precisar ser adicionadas.</w:t>
      </w:r>
    </w:p>
    <w:p w14:paraId="26FC313B" w14:textId="77777777" w:rsidR="001B30F1" w:rsidRPr="001B30F1" w:rsidRDefault="001B30F1" w:rsidP="001B30F1">
      <w:pPr>
        <w:numPr>
          <w:ilvl w:val="0"/>
          <w:numId w:val="11"/>
        </w:num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b/>
          <w:bCs/>
          <w:lang w:val="pt-BR"/>
        </w:rPr>
        <w:t>Se o texto for citado do Anexo 1</w:t>
      </w:r>
      <w:r w:rsidRPr="001B30F1">
        <w:rPr>
          <w:rFonts w:ascii="Arial" w:hAnsi="Arial" w:cs="Arial"/>
          <w:lang w:val="pt-BR"/>
        </w:rPr>
        <w:t xml:space="preserve">, ele será escrito com a fonte </w:t>
      </w:r>
      <w:r w:rsidRPr="001B30F1">
        <w:rPr>
          <w:rFonts w:ascii="Arial" w:hAnsi="Arial" w:cs="Arial"/>
          <w:i/>
          <w:iCs/>
          <w:lang w:val="pt-BR"/>
        </w:rPr>
        <w:t>Times New Roman</w:t>
      </w:r>
      <w:r w:rsidRPr="001B30F1">
        <w:rPr>
          <w:rFonts w:ascii="Arial" w:hAnsi="Arial" w:cs="Arial"/>
          <w:lang w:val="pt-BR"/>
        </w:rPr>
        <w:t>.</w:t>
      </w:r>
    </w:p>
    <w:p w14:paraId="33F977AE" w14:textId="77777777" w:rsidR="001B30F1" w:rsidRPr="001B30F1" w:rsidRDefault="001B30F1" w:rsidP="001B30F1">
      <w:pPr>
        <w:numPr>
          <w:ilvl w:val="0"/>
          <w:numId w:val="11"/>
        </w:num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b/>
          <w:bCs/>
          <w:lang w:val="pt-BR"/>
        </w:rPr>
        <w:t>Sempre que orientações claras forem fornecidas em documentos regulatórios</w:t>
      </w:r>
      <w:r w:rsidRPr="001B30F1">
        <w:rPr>
          <w:rFonts w:ascii="Arial" w:hAnsi="Arial" w:cs="Arial"/>
          <w:lang w:val="pt-BR"/>
        </w:rPr>
        <w:t>, projetos, processos e procedimentos baseiam-se nessas orientações (por exemplo, classificações de salas limpas e requisitos relacionados a partículas e microbiologia). Portanto, tais detalhes não são repetidos.</w:t>
      </w:r>
    </w:p>
    <w:p w14:paraId="0471207C" w14:textId="77777777" w:rsidR="001B30F1" w:rsidRPr="001B30F1" w:rsidRDefault="001B30F1" w:rsidP="001B30F1">
      <w:pPr>
        <w:numPr>
          <w:ilvl w:val="0"/>
          <w:numId w:val="11"/>
        </w:num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b/>
          <w:bCs/>
          <w:lang w:val="pt-BR"/>
        </w:rPr>
        <w:t>Os princípios de Gerenciamento de Risco da Qualidade foram aplicados.</w:t>
      </w:r>
    </w:p>
    <w:p w14:paraId="02F7F976" w14:textId="77777777" w:rsidR="001B30F1" w:rsidRPr="001B30F1" w:rsidRDefault="001B30F1" w:rsidP="001B30F1">
      <w:pPr>
        <w:numPr>
          <w:ilvl w:val="0"/>
          <w:numId w:val="11"/>
        </w:num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b/>
          <w:bCs/>
          <w:lang w:val="pt-BR"/>
        </w:rPr>
        <w:t>A referência a documentos</w:t>
      </w:r>
      <w:r w:rsidRPr="001B30F1">
        <w:rPr>
          <w:rFonts w:ascii="Arial" w:hAnsi="Arial" w:cs="Arial"/>
          <w:lang w:val="pt-BR"/>
        </w:rPr>
        <w:t xml:space="preserve"> (relatórios, instruções, SOPs, etc.) é fornecida em cada seção.</w:t>
      </w:r>
    </w:p>
    <w:p w14:paraId="7E29D11F" w14:textId="77777777" w:rsidR="001B30F1" w:rsidRDefault="001B30F1" w:rsidP="001B30F1">
      <w:pPr>
        <w:jc w:val="both"/>
        <w:rPr>
          <w:rFonts w:ascii="Arial" w:hAnsi="Arial" w:cs="Arial"/>
          <w:lang w:val="pt-BR"/>
        </w:rPr>
      </w:pPr>
      <w:r w:rsidRPr="001B30F1">
        <w:rPr>
          <w:rFonts w:ascii="Arial" w:hAnsi="Arial" w:cs="Arial"/>
          <w:lang w:val="pt-BR"/>
        </w:rPr>
        <w:t xml:space="preserve">A aprovação do documento CCS com revisões e atualizações contínuas é recomendada, sendo apropriado incluir este documento como parte do </w:t>
      </w:r>
      <w:r w:rsidRPr="001B30F1">
        <w:rPr>
          <w:rFonts w:ascii="Arial" w:hAnsi="Arial" w:cs="Arial"/>
          <w:i/>
          <w:iCs/>
          <w:lang w:val="pt-BR"/>
        </w:rPr>
        <w:t>Site Master File</w:t>
      </w:r>
      <w:r w:rsidRPr="001B30F1">
        <w:rPr>
          <w:rFonts w:ascii="Arial" w:hAnsi="Arial" w:cs="Arial"/>
          <w:lang w:val="pt-BR"/>
        </w:rPr>
        <w:t>.</w:t>
      </w:r>
      <w:r w:rsidRPr="001B30F1">
        <w:rPr>
          <w:rFonts w:ascii="Arial" w:hAnsi="Arial" w:cs="Arial"/>
          <w:lang w:val="pt-BR"/>
        </w:rPr>
        <w:br/>
        <w:t>O documento deve ser incluído na documentação de projeto para uma instalação em construção ou em processo de reforma ou desenvolvimento significativo.</w:t>
      </w:r>
    </w:p>
    <w:p w14:paraId="16433372" w14:textId="77777777" w:rsidR="0068039B" w:rsidRPr="001B30F1" w:rsidRDefault="0068039B" w:rsidP="001B30F1">
      <w:pPr>
        <w:jc w:val="both"/>
        <w:rPr>
          <w:rFonts w:ascii="Arial" w:hAnsi="Arial" w:cs="Arial"/>
          <w:lang w:val="pt-BR"/>
        </w:rPr>
      </w:pPr>
    </w:p>
    <w:p w14:paraId="437BD2AB" w14:textId="77777777" w:rsidR="0068039B" w:rsidRPr="0068039B" w:rsidRDefault="0068039B" w:rsidP="0068039B">
      <w:pPr>
        <w:jc w:val="both"/>
        <w:rPr>
          <w:rFonts w:ascii="Arial" w:hAnsi="Arial" w:cs="Arial"/>
          <w:b/>
          <w:bCs/>
          <w:lang w:val="pt-BR"/>
        </w:rPr>
      </w:pPr>
      <w:r w:rsidRPr="0068039B">
        <w:rPr>
          <w:rFonts w:ascii="Arial" w:hAnsi="Arial" w:cs="Arial"/>
          <w:b/>
          <w:bCs/>
          <w:lang w:val="pt-BR"/>
        </w:rPr>
        <w:t>0.2. Definições e Abreviações</w:t>
      </w:r>
    </w:p>
    <w:tbl>
      <w:tblPr>
        <w:tblW w:w="92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2"/>
        <w:gridCol w:w="7827"/>
      </w:tblGrid>
      <w:tr w:rsidR="0068039B" w:rsidRPr="0068039B" w14:paraId="14C0825F" w14:textId="77777777" w:rsidTr="0068039B">
        <w:trPr>
          <w:tblHeader/>
          <w:tblCellSpacing w:w="15" w:type="dxa"/>
        </w:trPr>
        <w:tc>
          <w:tcPr>
            <w:tcW w:w="1397" w:type="dxa"/>
            <w:vAlign w:val="center"/>
            <w:hideMark/>
          </w:tcPr>
          <w:p w14:paraId="004DC46A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b/>
                <w:bCs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lastRenderedPageBreak/>
              <w:t>Termo / Abreviação</w:t>
            </w:r>
          </w:p>
        </w:tc>
        <w:tc>
          <w:tcPr>
            <w:tcW w:w="7782" w:type="dxa"/>
            <w:vAlign w:val="center"/>
            <w:hideMark/>
          </w:tcPr>
          <w:p w14:paraId="4274C543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b/>
                <w:bCs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Definição / Versão Completa</w:t>
            </w:r>
          </w:p>
        </w:tc>
      </w:tr>
      <w:tr w:rsidR="0068039B" w:rsidRPr="00F80960" w14:paraId="4FAC0431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38562F02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CCS</w:t>
            </w:r>
          </w:p>
        </w:tc>
        <w:tc>
          <w:tcPr>
            <w:tcW w:w="7782" w:type="dxa"/>
            <w:vAlign w:val="center"/>
            <w:hideMark/>
          </w:tcPr>
          <w:p w14:paraId="5D5637EA" w14:textId="7AF5A826" w:rsidR="0068039B" w:rsidRPr="0068039B" w:rsidRDefault="0068039B" w:rsidP="0068039B">
            <w:pPr>
              <w:jc w:val="both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Estratégia de Controle de Contaminação (</w:t>
            </w:r>
            <w:r w:rsidRPr="0068039B">
              <w:rPr>
                <w:rFonts w:ascii="Arial" w:hAnsi="Arial" w:cs="Arial"/>
                <w:b/>
                <w:bCs/>
                <w:i/>
                <w:iCs/>
                <w:lang w:val="pt-BR"/>
              </w:rPr>
              <w:t>Contamination Control Strategy</w:t>
            </w:r>
            <w:r w:rsidRPr="0068039B">
              <w:rPr>
                <w:rFonts w:ascii="Arial" w:hAnsi="Arial" w:cs="Arial"/>
                <w:b/>
                <w:bCs/>
                <w:lang w:val="pt-BR"/>
              </w:rPr>
              <w:t>):</w:t>
            </w:r>
            <w:r>
              <w:rPr>
                <w:rFonts w:ascii="Arial" w:hAnsi="Arial" w:cs="Arial"/>
                <w:b/>
                <w:bCs/>
                <w:lang w:val="pt-BR"/>
              </w:rPr>
              <w:t xml:space="preserve"> </w:t>
            </w:r>
            <w:r w:rsidRPr="0068039B">
              <w:rPr>
                <w:rFonts w:ascii="Arial" w:hAnsi="Arial" w:cs="Arial"/>
                <w:lang w:val="pt-BR"/>
              </w:rPr>
              <w:t>Um conjunto planejado de controles para microrganismos, pir</w:t>
            </w:r>
            <w:r>
              <w:rPr>
                <w:rFonts w:ascii="Arial" w:hAnsi="Arial" w:cs="Arial"/>
                <w:lang w:val="pt-BR"/>
              </w:rPr>
              <w:t>o</w:t>
            </w:r>
            <w:r w:rsidRPr="0068039B">
              <w:rPr>
                <w:rFonts w:ascii="Arial" w:hAnsi="Arial" w:cs="Arial"/>
                <w:lang w:val="pt-BR"/>
              </w:rPr>
              <w:t>g</w:t>
            </w:r>
            <w:r>
              <w:rPr>
                <w:rFonts w:ascii="Arial" w:hAnsi="Arial" w:cs="Arial"/>
                <w:lang w:val="pt-BR"/>
              </w:rPr>
              <w:t>ê</w:t>
            </w:r>
            <w:r w:rsidRPr="0068039B">
              <w:rPr>
                <w:rFonts w:ascii="Arial" w:hAnsi="Arial" w:cs="Arial"/>
                <w:lang w:val="pt-BR"/>
              </w:rPr>
              <w:t>n</w:t>
            </w:r>
            <w:r>
              <w:rPr>
                <w:rFonts w:ascii="Arial" w:hAnsi="Arial" w:cs="Arial"/>
                <w:lang w:val="pt-BR"/>
              </w:rPr>
              <w:t>i</w:t>
            </w:r>
            <w:r w:rsidRPr="0068039B">
              <w:rPr>
                <w:rFonts w:ascii="Arial" w:hAnsi="Arial" w:cs="Arial"/>
                <w:lang w:val="pt-BR"/>
              </w:rPr>
              <w:t>os e partículas, derivado do entendimento atual de produto e processo, que garante o desempenho do processo e a qualidade do produto. Os controles podem incluir parâmetros e atributos relacionados à substância ativa, excipientes e produtos farmacêuticos acabados, materiais e componentes, condições operacionais de instalações e equipamentos, controles em processo, especificações do produto final, bem como os métodos e frequências associados de monitoramento e controle.</w:t>
            </w:r>
          </w:p>
        </w:tc>
      </w:tr>
      <w:tr w:rsidR="0068039B" w:rsidRPr="00F80960" w14:paraId="05B022F6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1529B321" w14:textId="3DC56DFA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CCS-document</w:t>
            </w:r>
            <w:r w:rsidR="00640627">
              <w:rPr>
                <w:rFonts w:ascii="Arial" w:hAnsi="Arial" w:cs="Arial"/>
                <w:b/>
                <w:bCs/>
                <w:lang w:val="pt-BR"/>
              </w:rPr>
              <w:t>o</w:t>
            </w:r>
          </w:p>
        </w:tc>
        <w:tc>
          <w:tcPr>
            <w:tcW w:w="7782" w:type="dxa"/>
            <w:vAlign w:val="center"/>
            <w:hideMark/>
          </w:tcPr>
          <w:p w14:paraId="7BC9BEF8" w14:textId="77777777" w:rsidR="0068039B" w:rsidRPr="0068039B" w:rsidRDefault="0068039B" w:rsidP="0068039B">
            <w:pPr>
              <w:jc w:val="both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lang w:val="pt-BR"/>
              </w:rPr>
              <w:t>Este documento compila referências a todos os documentos relacionados ao CCS, bem como conclusões sobre como verificar e manter o controle de contaminação.</w:t>
            </w:r>
          </w:p>
        </w:tc>
      </w:tr>
      <w:tr w:rsidR="0068039B" w:rsidRPr="00F80960" w14:paraId="1A3432E3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5139FC60" w14:textId="44E25B85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b/>
                <w:bCs/>
                <w:lang w:val="pt-BR"/>
              </w:rPr>
              <w:t>Os Elementos</w:t>
            </w:r>
          </w:p>
        </w:tc>
        <w:tc>
          <w:tcPr>
            <w:tcW w:w="7782" w:type="dxa"/>
            <w:vAlign w:val="center"/>
            <w:hideMark/>
          </w:tcPr>
          <w:p w14:paraId="3893D3E1" w14:textId="3CFC1789" w:rsidR="0068039B" w:rsidRPr="0068039B" w:rsidRDefault="0068039B" w:rsidP="0068039B">
            <w:pPr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lang w:val="pt-BR"/>
              </w:rPr>
              <w:t xml:space="preserve">Os elementos mencionados no Anexo 1 sob os itens </w:t>
            </w:r>
            <w:r>
              <w:rPr>
                <w:rFonts w:ascii="Arial" w:hAnsi="Arial" w:cs="Arial"/>
                <w:lang w:val="pt-BR"/>
              </w:rPr>
              <w:t>I</w:t>
            </w:r>
            <w:r w:rsidRPr="0068039B">
              <w:rPr>
                <w:rFonts w:ascii="Arial" w:hAnsi="Arial" w:cs="Arial"/>
                <w:lang w:val="pt-BR"/>
              </w:rPr>
              <w:t xml:space="preserve"> a </w:t>
            </w:r>
            <w:r>
              <w:rPr>
                <w:rFonts w:ascii="Arial" w:hAnsi="Arial" w:cs="Arial"/>
                <w:lang w:val="pt-BR"/>
              </w:rPr>
              <w:t>XVI</w:t>
            </w:r>
            <w:r w:rsidRPr="0068039B">
              <w:rPr>
                <w:rFonts w:ascii="Arial" w:hAnsi="Arial" w:cs="Arial"/>
                <w:lang w:val="pt-BR"/>
              </w:rPr>
              <w:t>, que correspondem às Seções 1 a 16 deste documento.</w:t>
            </w:r>
          </w:p>
        </w:tc>
      </w:tr>
      <w:tr w:rsidR="0068039B" w:rsidRPr="00F80960" w14:paraId="3CBA2715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5F90E144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PV</w:t>
            </w:r>
          </w:p>
        </w:tc>
        <w:tc>
          <w:tcPr>
            <w:tcW w:w="7782" w:type="dxa"/>
            <w:vAlign w:val="center"/>
            <w:hideMark/>
          </w:tcPr>
          <w:p w14:paraId="541ECD63" w14:textId="77777777" w:rsidR="0068039B" w:rsidRPr="0068039B" w:rsidRDefault="0068039B" w:rsidP="0068039B">
            <w:pPr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lang w:val="pt-BR"/>
              </w:rPr>
              <w:t>Validação de Processo (</w:t>
            </w:r>
            <w:r w:rsidRPr="0068039B">
              <w:rPr>
                <w:rFonts w:ascii="Arial" w:hAnsi="Arial" w:cs="Arial"/>
                <w:i/>
                <w:iCs/>
                <w:lang w:val="pt-BR"/>
              </w:rPr>
              <w:t>Process Validation</w:t>
            </w:r>
            <w:r w:rsidRPr="0068039B">
              <w:rPr>
                <w:rFonts w:ascii="Arial" w:hAnsi="Arial" w:cs="Arial"/>
                <w:lang w:val="pt-BR"/>
              </w:rPr>
              <w:t>).</w:t>
            </w:r>
          </w:p>
        </w:tc>
      </w:tr>
      <w:tr w:rsidR="0068039B" w:rsidRPr="00F80960" w14:paraId="739FC2F5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4C7A1B7B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QRM</w:t>
            </w:r>
          </w:p>
        </w:tc>
        <w:tc>
          <w:tcPr>
            <w:tcW w:w="7782" w:type="dxa"/>
            <w:vAlign w:val="center"/>
            <w:hideMark/>
          </w:tcPr>
          <w:p w14:paraId="037D2923" w14:textId="77777777" w:rsidR="0068039B" w:rsidRPr="0068039B" w:rsidRDefault="0068039B" w:rsidP="0068039B">
            <w:pPr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lang w:val="pt-BR"/>
              </w:rPr>
              <w:t>Gerenciamento de Risco da Qualidade (</w:t>
            </w:r>
            <w:r w:rsidRPr="0068039B">
              <w:rPr>
                <w:rFonts w:ascii="Arial" w:hAnsi="Arial" w:cs="Arial"/>
                <w:i/>
                <w:iCs/>
                <w:lang w:val="pt-BR"/>
              </w:rPr>
              <w:t>Quality Risk Management</w:t>
            </w:r>
            <w:r w:rsidRPr="0068039B">
              <w:rPr>
                <w:rFonts w:ascii="Arial" w:hAnsi="Arial" w:cs="Arial"/>
                <w:lang w:val="pt-BR"/>
              </w:rPr>
              <w:t>).</w:t>
            </w:r>
          </w:p>
        </w:tc>
      </w:tr>
      <w:tr w:rsidR="0068039B" w:rsidRPr="00F80960" w14:paraId="275120D0" w14:textId="77777777" w:rsidTr="0068039B">
        <w:trPr>
          <w:tblCellSpacing w:w="15" w:type="dxa"/>
        </w:trPr>
        <w:tc>
          <w:tcPr>
            <w:tcW w:w="1397" w:type="dxa"/>
            <w:vAlign w:val="center"/>
            <w:hideMark/>
          </w:tcPr>
          <w:p w14:paraId="53072764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b/>
                <w:bCs/>
                <w:lang w:val="pt-BR"/>
              </w:rPr>
              <w:t>RA</w:t>
            </w:r>
          </w:p>
        </w:tc>
        <w:tc>
          <w:tcPr>
            <w:tcW w:w="7782" w:type="dxa"/>
            <w:vAlign w:val="center"/>
            <w:hideMark/>
          </w:tcPr>
          <w:p w14:paraId="547F00DE" w14:textId="77777777" w:rsidR="0068039B" w:rsidRPr="0068039B" w:rsidRDefault="0068039B" w:rsidP="0068039B">
            <w:pPr>
              <w:rPr>
                <w:rFonts w:ascii="Arial" w:hAnsi="Arial" w:cs="Arial"/>
                <w:lang w:val="pt-BR"/>
              </w:rPr>
            </w:pPr>
            <w:r w:rsidRPr="0068039B">
              <w:rPr>
                <w:rFonts w:ascii="Arial" w:hAnsi="Arial" w:cs="Arial"/>
                <w:lang w:val="pt-BR"/>
              </w:rPr>
              <w:t>Avaliação de Risco / Análise de Risco (</w:t>
            </w:r>
            <w:r w:rsidRPr="0068039B">
              <w:rPr>
                <w:rFonts w:ascii="Arial" w:hAnsi="Arial" w:cs="Arial"/>
                <w:i/>
                <w:iCs/>
                <w:lang w:val="pt-BR"/>
              </w:rPr>
              <w:t>Risk Assessment / Risk Analysis</w:t>
            </w:r>
            <w:r w:rsidRPr="0068039B">
              <w:rPr>
                <w:rFonts w:ascii="Arial" w:hAnsi="Arial" w:cs="Arial"/>
                <w:lang w:val="pt-BR"/>
              </w:rPr>
              <w:t>).</w:t>
            </w:r>
          </w:p>
        </w:tc>
      </w:tr>
      <w:tr w:rsidR="0068039B" w:rsidRPr="0068039B" w14:paraId="044D0622" w14:textId="77777777" w:rsidTr="0068039B">
        <w:trPr>
          <w:tblCellSpacing w:w="15" w:type="dxa"/>
        </w:trPr>
        <w:tc>
          <w:tcPr>
            <w:tcW w:w="1397" w:type="dxa"/>
            <w:vAlign w:val="center"/>
          </w:tcPr>
          <w:p w14:paraId="5FD2AC03" w14:textId="133D3334" w:rsidR="0068039B" w:rsidRPr="0068039B" w:rsidRDefault="0068039B" w:rsidP="0068039B">
            <w:pPr>
              <w:jc w:val="center"/>
              <w:rPr>
                <w:rFonts w:ascii="Arial" w:hAnsi="Arial" w:cs="Arial"/>
                <w:b/>
                <w:bCs/>
                <w:lang w:val="pt-BR"/>
              </w:rPr>
            </w:pPr>
            <w:r>
              <w:rPr>
                <w:rFonts w:ascii="Arial" w:hAnsi="Arial" w:cs="Arial"/>
                <w:b/>
                <w:bCs/>
                <w:lang w:val="pt-BR"/>
              </w:rPr>
              <w:t>SMF</w:t>
            </w:r>
          </w:p>
        </w:tc>
        <w:tc>
          <w:tcPr>
            <w:tcW w:w="7782" w:type="dxa"/>
            <w:vAlign w:val="center"/>
          </w:tcPr>
          <w:p w14:paraId="301DDA50" w14:textId="7D107F0A" w:rsidR="0068039B" w:rsidRPr="0068039B" w:rsidRDefault="0068039B" w:rsidP="0068039B">
            <w:pPr>
              <w:rPr>
                <w:rFonts w:ascii="Arial" w:hAnsi="Arial" w:cs="Arial"/>
                <w:i/>
                <w:iCs/>
                <w:lang w:val="pt-BR"/>
              </w:rPr>
            </w:pPr>
            <w:r w:rsidRPr="0068039B">
              <w:rPr>
                <w:rFonts w:ascii="Arial" w:hAnsi="Arial" w:cs="Arial"/>
                <w:i/>
                <w:iCs/>
                <w:lang w:val="pt-BR"/>
              </w:rPr>
              <w:t>Site Master File</w:t>
            </w:r>
          </w:p>
        </w:tc>
      </w:tr>
    </w:tbl>
    <w:p w14:paraId="0145E41C" w14:textId="4A63828F" w:rsidR="001B30F1" w:rsidRDefault="0068039B" w:rsidP="001B30F1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Adicionar outras definições e Abreviações conforme necessário</w:t>
      </w:r>
      <w:r>
        <w:rPr>
          <w:rFonts w:ascii="Arial" w:hAnsi="Arial" w:cs="Arial"/>
          <w:color w:val="4F81BD" w:themeColor="accent1"/>
          <w:lang w:val="pt-BR"/>
        </w:rPr>
        <w:t>.</w:t>
      </w:r>
    </w:p>
    <w:p w14:paraId="690D8205" w14:textId="77777777" w:rsidR="0068039B" w:rsidRDefault="0068039B" w:rsidP="001B30F1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CE7F26B" w14:textId="77777777" w:rsidR="0068039B" w:rsidRPr="0068039B" w:rsidRDefault="0068039B" w:rsidP="006803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6803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1. Projeto da Planta e dos Processos</w:t>
      </w:r>
    </w:p>
    <w:p w14:paraId="694BFC23" w14:textId="77777777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Forneça o nome dos produtos e das instalações de fabricação associadas. Apresente algumas informações sobre:</w:t>
      </w:r>
    </w:p>
    <w:p w14:paraId="2314C1EE" w14:textId="77777777" w:rsidR="0068039B" w:rsidRPr="0068039B" w:rsidRDefault="0068039B" w:rsidP="0068039B">
      <w:pPr>
        <w:numPr>
          <w:ilvl w:val="0"/>
          <w:numId w:val="12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 xml:space="preserve">a </w:t>
      </w:r>
      <w:r w:rsidRPr="0068039B">
        <w:rPr>
          <w:rFonts w:ascii="Arial" w:hAnsi="Arial" w:cs="Arial"/>
          <w:b/>
          <w:bCs/>
          <w:color w:val="4F81BD" w:themeColor="accent1"/>
          <w:lang w:val="pt-BR"/>
        </w:rPr>
        <w:t>apresentação do produto</w:t>
      </w:r>
      <w:r w:rsidRPr="0068039B">
        <w:rPr>
          <w:rFonts w:ascii="Arial" w:hAnsi="Arial" w:cs="Arial"/>
          <w:color w:val="4F81BD" w:themeColor="accent1"/>
          <w:lang w:val="pt-BR"/>
        </w:rPr>
        <w:t xml:space="preserve"> (por exemplo, seringas, frascos, cartuchos);</w:t>
      </w:r>
    </w:p>
    <w:p w14:paraId="6E607A8F" w14:textId="77777777" w:rsidR="0068039B" w:rsidRPr="0068039B" w:rsidRDefault="0068039B" w:rsidP="0068039B">
      <w:pPr>
        <w:numPr>
          <w:ilvl w:val="0"/>
          <w:numId w:val="12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 xml:space="preserve">a </w:t>
      </w:r>
      <w:r w:rsidRPr="0068039B">
        <w:rPr>
          <w:rFonts w:ascii="Arial" w:hAnsi="Arial" w:cs="Arial"/>
          <w:b/>
          <w:bCs/>
          <w:color w:val="4F81BD" w:themeColor="accent1"/>
          <w:lang w:val="pt-BR"/>
        </w:rPr>
        <w:t>formulação</w:t>
      </w:r>
      <w:r w:rsidRPr="0068039B">
        <w:rPr>
          <w:rFonts w:ascii="Arial" w:hAnsi="Arial" w:cs="Arial"/>
          <w:color w:val="4F81BD" w:themeColor="accent1"/>
          <w:lang w:val="pt-BR"/>
        </w:rPr>
        <w:t xml:space="preserve"> ou </w:t>
      </w:r>
      <w:r w:rsidRPr="0068039B">
        <w:rPr>
          <w:rFonts w:ascii="Arial" w:hAnsi="Arial" w:cs="Arial"/>
          <w:b/>
          <w:bCs/>
          <w:color w:val="4F81BD" w:themeColor="accent1"/>
          <w:lang w:val="pt-BR"/>
        </w:rPr>
        <w:t>variantes específicas do produto</w:t>
      </w:r>
      <w:r w:rsidRPr="0068039B">
        <w:rPr>
          <w:rFonts w:ascii="Arial" w:hAnsi="Arial" w:cs="Arial"/>
          <w:color w:val="4F81BD" w:themeColor="accent1"/>
          <w:lang w:val="pt-BR"/>
        </w:rPr>
        <w:t xml:space="preserve"> (por exemplo, volumes, concentrações).</w:t>
      </w:r>
    </w:p>
    <w:p w14:paraId="064ABB83" w14:textId="5CF03BE8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C0831EE" w14:textId="77777777" w:rsidR="0068039B" w:rsidRPr="0068039B" w:rsidRDefault="0068039B" w:rsidP="006803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6803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1.1. Os Processos</w:t>
      </w:r>
    </w:p>
    <w:p w14:paraId="61707125" w14:textId="77777777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 xml:space="preserve">Descreva os diferentes processos, liste as etapas sequenciais e detalhe os controles associados — produtos esterilizados terminalmente, fabricação asséptica, baixo </w:t>
      </w:r>
      <w:r w:rsidRPr="0068039B">
        <w:rPr>
          <w:rFonts w:ascii="Arial" w:hAnsi="Arial" w:cs="Arial"/>
          <w:i/>
          <w:iCs/>
          <w:color w:val="4F81BD" w:themeColor="accent1"/>
          <w:lang w:val="pt-BR"/>
        </w:rPr>
        <w:lastRenderedPageBreak/>
        <w:t>bioburden</w:t>
      </w:r>
      <w:r w:rsidRPr="0068039B">
        <w:rPr>
          <w:rFonts w:ascii="Arial" w:hAnsi="Arial" w:cs="Arial"/>
          <w:color w:val="4F81BD" w:themeColor="accent1"/>
          <w:lang w:val="pt-BR"/>
        </w:rPr>
        <w:t xml:space="preserve">, controle de </w:t>
      </w:r>
      <w:r w:rsidRPr="0068039B">
        <w:rPr>
          <w:rFonts w:ascii="Arial" w:hAnsi="Arial" w:cs="Arial"/>
          <w:i/>
          <w:iCs/>
          <w:color w:val="4F81BD" w:themeColor="accent1"/>
          <w:lang w:val="pt-BR"/>
        </w:rPr>
        <w:t>bioburden</w:t>
      </w:r>
      <w:r w:rsidRPr="0068039B">
        <w:rPr>
          <w:rFonts w:ascii="Arial" w:hAnsi="Arial" w:cs="Arial"/>
          <w:color w:val="4F81BD" w:themeColor="accent1"/>
          <w:lang w:val="pt-BR"/>
        </w:rPr>
        <w:t xml:space="preserve"> — com uma breve descrição para avaliar se o CCS é adequado.</w:t>
      </w:r>
    </w:p>
    <w:p w14:paraId="31B171AF" w14:textId="77777777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Inclua informações sobre o tipo de contaminação microbiana que o produto poderia sustentar. Descreva qualquer etapa do processo de fabricação que possa reduzir ou desativar a contaminação. Explique se o produto poderia permitir a proliferação microbiana durante o prazo de validade. Adicione informações sobre a integridade do sistema de fechamento e os controles existentes. Faça referência a qualquer documento que determine o risco de contaminação.</w:t>
      </w:r>
    </w:p>
    <w:p w14:paraId="7F6306DC" w14:textId="77777777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Forneça informações sobre as medidas implementadas para garantir a segurança do processo asséptico e o nível de garantia de esterilidade dos produtos esterilizados terminalmente:</w:t>
      </w:r>
    </w:p>
    <w:p w14:paraId="150B2048" w14:textId="2BDE9299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validação inicial e contínua (</w:t>
      </w:r>
      <w:r w:rsidRPr="00640627">
        <w:rPr>
          <w:rFonts w:ascii="Arial" w:hAnsi="Arial" w:cs="Arial"/>
          <w:i/>
          <w:iCs/>
          <w:color w:val="4F81BD" w:themeColor="accent1"/>
          <w:lang w:val="pt-BR"/>
        </w:rPr>
        <w:t>media fill</w:t>
      </w:r>
      <w:r w:rsidRPr="0068039B">
        <w:rPr>
          <w:rFonts w:ascii="Arial" w:hAnsi="Arial" w:cs="Arial"/>
          <w:color w:val="4F81BD" w:themeColor="accent1"/>
          <w:lang w:val="pt-BR"/>
        </w:rPr>
        <w:t>);</w:t>
      </w:r>
    </w:p>
    <w:p w14:paraId="66E23575" w14:textId="77777777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qualificação e requalificação de equipamentos e processos;</w:t>
      </w:r>
    </w:p>
    <w:p w14:paraId="0F29B867" w14:textId="77777777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validação de processo e verificação contínua;</w:t>
      </w:r>
    </w:p>
    <w:p w14:paraId="4E93F44D" w14:textId="77777777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qualificação, requalificação e desqualificação de pessoal;</w:t>
      </w:r>
    </w:p>
    <w:p w14:paraId="1D10003F" w14:textId="77777777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descrição das amostras coletadas de cada lote para controle microbiano e particulado ou garantia de esterilidade;</w:t>
      </w:r>
    </w:p>
    <w:p w14:paraId="09E6354D" w14:textId="77777777" w:rsidR="0068039B" w:rsidRPr="0068039B" w:rsidRDefault="0068039B" w:rsidP="0068039B">
      <w:pPr>
        <w:numPr>
          <w:ilvl w:val="0"/>
          <w:numId w:val="13"/>
        </w:num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referência à avaliação de contaminação microbiana e particulada do produto.</w:t>
      </w:r>
    </w:p>
    <w:p w14:paraId="5F97783A" w14:textId="68DEC330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50EC3E2F" w14:textId="77777777" w:rsidR="0068039B" w:rsidRPr="0068039B" w:rsidRDefault="0068039B" w:rsidP="006803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68039B">
        <w:rPr>
          <w:rFonts w:ascii="Arial" w:hAnsi="Arial" w:cs="Arial"/>
          <w:b/>
          <w:bCs/>
          <w:color w:val="4F81BD" w:themeColor="accent1"/>
          <w:lang w:val="pt-BR"/>
        </w:rPr>
        <w:t>1.1.1. Produtos Esterilizados Terminalmente</w:t>
      </w:r>
    </w:p>
    <w:p w14:paraId="121A673F" w14:textId="77777777" w:rsid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Descreva informações específicas sobre os métodos/processos de esterilização.</w:t>
      </w:r>
    </w:p>
    <w:p w14:paraId="780B8F96" w14:textId="77777777" w:rsid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10B60B49" w14:textId="77777777" w:rsidR="0068039B" w:rsidRP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  <w:r w:rsidRPr="0068039B">
        <w:rPr>
          <w:rFonts w:ascii="Arial" w:hAnsi="Arial" w:cs="Arial"/>
          <w:color w:val="4F81BD" w:themeColor="accent1"/>
          <w:lang w:val="pt-BR"/>
        </w:rPr>
        <w:t>Mencione / liste os produtos ou tipos de produtos fabricados como produtos esterilizados terminalmente.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147"/>
        <w:gridCol w:w="2148"/>
        <w:gridCol w:w="2147"/>
        <w:gridCol w:w="2150"/>
      </w:tblGrid>
      <w:tr w:rsidR="0068039B" w14:paraId="5EC96335" w14:textId="77777777" w:rsidTr="0068039B">
        <w:trPr>
          <w:trHeight w:val="412"/>
        </w:trPr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2603A3DD" w14:textId="490D0D2F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Nome do produto</w:t>
            </w:r>
          </w:p>
        </w:tc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74B221C9" w14:textId="7B147AC6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 de produto</w:t>
            </w:r>
          </w:p>
        </w:tc>
        <w:tc>
          <w:tcPr>
            <w:tcW w:w="4390" w:type="dxa"/>
            <w:gridSpan w:val="2"/>
            <w:shd w:val="clear" w:color="auto" w:fill="D9D9D9" w:themeFill="background1" w:themeFillShade="D9"/>
            <w:vAlign w:val="center"/>
          </w:tcPr>
          <w:p w14:paraId="1E708C77" w14:textId="5A56A10C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Container</w:t>
            </w:r>
          </w:p>
        </w:tc>
      </w:tr>
      <w:tr w:rsidR="0068039B" w14:paraId="32152C34" w14:textId="77777777" w:rsidTr="0068039B">
        <w:trPr>
          <w:trHeight w:val="418"/>
        </w:trPr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6EEFC802" w14:textId="77777777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7FD8FA2C" w14:textId="77777777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42025728" w14:textId="536EAA51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Volume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6ED66608" w14:textId="0E914B4C" w:rsidR="0068039B" w:rsidRPr="0068039B" w:rsidRDefault="0068039B" w:rsidP="0068039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Material</w:t>
            </w:r>
          </w:p>
        </w:tc>
      </w:tr>
      <w:tr w:rsidR="0068039B" w14:paraId="28FBB4D0" w14:textId="77777777" w:rsidTr="0068039B">
        <w:trPr>
          <w:trHeight w:val="318"/>
        </w:trPr>
        <w:tc>
          <w:tcPr>
            <w:tcW w:w="2195" w:type="dxa"/>
            <w:vAlign w:val="center"/>
          </w:tcPr>
          <w:p w14:paraId="714DA4EC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4ABCF05D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4D5DF8B9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91BC25A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68039B" w14:paraId="5DD5CA2A" w14:textId="77777777" w:rsidTr="0068039B">
        <w:trPr>
          <w:trHeight w:val="318"/>
        </w:trPr>
        <w:tc>
          <w:tcPr>
            <w:tcW w:w="2195" w:type="dxa"/>
            <w:vAlign w:val="center"/>
          </w:tcPr>
          <w:p w14:paraId="60EEAD94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F85FF7A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12A6B6B4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0BBC087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68039B" w14:paraId="12C76E18" w14:textId="77777777" w:rsidTr="0068039B">
        <w:trPr>
          <w:trHeight w:val="318"/>
        </w:trPr>
        <w:tc>
          <w:tcPr>
            <w:tcW w:w="2195" w:type="dxa"/>
            <w:vAlign w:val="center"/>
          </w:tcPr>
          <w:p w14:paraId="43B1768B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0A1D7C61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8394C76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9371FB0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68039B" w14:paraId="1820DCAB" w14:textId="77777777" w:rsidTr="0068039B">
        <w:trPr>
          <w:trHeight w:val="318"/>
        </w:trPr>
        <w:tc>
          <w:tcPr>
            <w:tcW w:w="2195" w:type="dxa"/>
            <w:vAlign w:val="center"/>
          </w:tcPr>
          <w:p w14:paraId="27A36393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422FC968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E4E6DCD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61D73533" w14:textId="77777777" w:rsidR="0068039B" w:rsidRPr="0068039B" w:rsidRDefault="0068039B" w:rsidP="0068039B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06F07594" w14:textId="77777777" w:rsid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60AC80CE" w14:textId="23517489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1.1.2. Fabricação Asséptica</w:t>
      </w:r>
    </w:p>
    <w:p w14:paraId="54D6542C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>Mencione / liste os produtos ou tipos de produtos fabricados sob condições assépticas.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147"/>
        <w:gridCol w:w="2148"/>
        <w:gridCol w:w="2147"/>
        <w:gridCol w:w="2150"/>
      </w:tblGrid>
      <w:tr w:rsidR="00B95A02" w14:paraId="64672F57" w14:textId="77777777" w:rsidTr="000E5F33">
        <w:trPr>
          <w:trHeight w:val="412"/>
        </w:trPr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0CA7A78C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lastRenderedPageBreak/>
              <w:t>Nome do produto</w:t>
            </w:r>
          </w:p>
        </w:tc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16D369D2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 de produto</w:t>
            </w:r>
          </w:p>
        </w:tc>
        <w:tc>
          <w:tcPr>
            <w:tcW w:w="4390" w:type="dxa"/>
            <w:gridSpan w:val="2"/>
            <w:shd w:val="clear" w:color="auto" w:fill="D9D9D9" w:themeFill="background1" w:themeFillShade="D9"/>
            <w:vAlign w:val="center"/>
          </w:tcPr>
          <w:p w14:paraId="478F6D76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Container</w:t>
            </w:r>
          </w:p>
        </w:tc>
      </w:tr>
      <w:tr w:rsidR="00B95A02" w14:paraId="6450A69E" w14:textId="77777777" w:rsidTr="000E5F33">
        <w:trPr>
          <w:trHeight w:val="418"/>
        </w:trPr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659016E3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63CAED16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7AF65109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Volume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568FC3A0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Material</w:t>
            </w:r>
          </w:p>
        </w:tc>
      </w:tr>
      <w:tr w:rsidR="00B95A02" w14:paraId="7D4E7718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0514DEE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0CB82627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0F9C5EA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7CE877F2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49541BFF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463BE16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02433F3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68DC815C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6E5B8D9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3F78ADEE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3AC2D16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5EE7B54E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7A235237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81602DD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1E49B9F2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13B54E8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D92DE20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76602ADE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62597E2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3243A013" w14:textId="77777777" w:rsidR="0068039B" w:rsidRDefault="0068039B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32D3C08" w14:textId="0D315745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1.1.3. Processos de Baix</w:t>
      </w:r>
      <w:r>
        <w:rPr>
          <w:rFonts w:ascii="Arial" w:hAnsi="Arial" w:cs="Arial"/>
          <w:b/>
          <w:bCs/>
          <w:color w:val="4F81BD" w:themeColor="accent1"/>
          <w:lang w:val="pt-BR"/>
        </w:rPr>
        <w:t>a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 xml:space="preserve"> Biocarga / Processos com Controle de Biocarga</w:t>
      </w:r>
    </w:p>
    <w:p w14:paraId="2964EDA7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>Mencione / liste os produtos ou tipos de produtos fabricados como produtos de baixa biocarga ou com biocarga controlada.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147"/>
        <w:gridCol w:w="2148"/>
        <w:gridCol w:w="2147"/>
        <w:gridCol w:w="2150"/>
      </w:tblGrid>
      <w:tr w:rsidR="00B95A02" w14:paraId="02FE56B4" w14:textId="77777777" w:rsidTr="000E5F33">
        <w:trPr>
          <w:trHeight w:val="412"/>
        </w:trPr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33A1149A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Nome do produto</w:t>
            </w:r>
          </w:p>
        </w:tc>
        <w:tc>
          <w:tcPr>
            <w:tcW w:w="2195" w:type="dxa"/>
            <w:vMerge w:val="restart"/>
            <w:shd w:val="clear" w:color="auto" w:fill="D9D9D9" w:themeFill="background1" w:themeFillShade="D9"/>
            <w:vAlign w:val="center"/>
          </w:tcPr>
          <w:p w14:paraId="45A02413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 de produto</w:t>
            </w:r>
          </w:p>
        </w:tc>
        <w:tc>
          <w:tcPr>
            <w:tcW w:w="4390" w:type="dxa"/>
            <w:gridSpan w:val="2"/>
            <w:shd w:val="clear" w:color="auto" w:fill="D9D9D9" w:themeFill="background1" w:themeFillShade="D9"/>
            <w:vAlign w:val="center"/>
          </w:tcPr>
          <w:p w14:paraId="2B94B55C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Container</w:t>
            </w:r>
          </w:p>
        </w:tc>
      </w:tr>
      <w:tr w:rsidR="00B95A02" w14:paraId="1974134B" w14:textId="77777777" w:rsidTr="000E5F33">
        <w:trPr>
          <w:trHeight w:val="418"/>
        </w:trPr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7250E76B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vMerge/>
            <w:shd w:val="clear" w:color="auto" w:fill="D9D9D9" w:themeFill="background1" w:themeFillShade="D9"/>
            <w:vAlign w:val="center"/>
          </w:tcPr>
          <w:p w14:paraId="24CADE46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15BDEB4A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Volume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31F830C7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6803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Material</w:t>
            </w:r>
          </w:p>
        </w:tc>
      </w:tr>
      <w:tr w:rsidR="00B95A02" w14:paraId="147C2186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1514E54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5DACEE7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4E456056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568DAEE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5108E7D6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791ED556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EEB454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12CD39D1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662FC0E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2D8039BE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5DB2EF3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4909941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2A541EE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7831E73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087A5BD8" w14:textId="77777777" w:rsidTr="000E5F33">
        <w:trPr>
          <w:trHeight w:val="318"/>
        </w:trPr>
        <w:tc>
          <w:tcPr>
            <w:tcW w:w="2195" w:type="dxa"/>
            <w:vAlign w:val="center"/>
          </w:tcPr>
          <w:p w14:paraId="2B34052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05B6FF9E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5878FE5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195" w:type="dxa"/>
            <w:vAlign w:val="center"/>
          </w:tcPr>
          <w:p w14:paraId="34C1C39E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00A7403B" w14:textId="77777777" w:rsidR="00B95A02" w:rsidRDefault="00B95A02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63D08C4B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1.2. A Instalação</w:t>
      </w:r>
    </w:p>
    <w:p w14:paraId="52A2FDCD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1.2.1. Geral</w:t>
      </w:r>
    </w:p>
    <w:p w14:paraId="51EF722B" w14:textId="77777777" w:rsidR="00B95A02" w:rsidRPr="00B95A02" w:rsidRDefault="00B95A02" w:rsidP="00B95A02">
      <w:pPr>
        <w:jc w:val="both"/>
        <w:rPr>
          <w:rFonts w:ascii="Arial" w:hAnsi="Arial" w:cs="Arial"/>
          <w:color w:val="000000" w:themeColor="text1"/>
          <w:lang w:val="pt-BR"/>
        </w:rPr>
      </w:pPr>
      <w:r w:rsidRPr="00B95A02">
        <w:rPr>
          <w:rFonts w:ascii="Arial" w:hAnsi="Arial" w:cs="Arial"/>
          <w:color w:val="000000" w:themeColor="text1"/>
          <w:lang w:val="pt-BR"/>
        </w:rPr>
        <w:t>A instalação é projetada para garantir que as etapas do processo sejam executadas nas salas limpas com classificação adequada, conforme exigido pelo Anexo 1.</w:t>
      </w:r>
    </w:p>
    <w:p w14:paraId="69FBCD83" w14:textId="77777777" w:rsidR="00B95A02" w:rsidRPr="00B95A02" w:rsidRDefault="00B95A02" w:rsidP="00B95A02">
      <w:pPr>
        <w:jc w:val="both"/>
        <w:rPr>
          <w:rFonts w:ascii="Arial" w:hAnsi="Arial" w:cs="Arial"/>
          <w:color w:val="000000" w:themeColor="text1"/>
          <w:lang w:val="pt-BR"/>
        </w:rPr>
      </w:pPr>
      <w:r w:rsidRPr="00B95A02">
        <w:rPr>
          <w:rFonts w:ascii="Arial" w:hAnsi="Arial" w:cs="Arial"/>
          <w:color w:val="000000" w:themeColor="text1"/>
          <w:lang w:val="pt-BR"/>
        </w:rPr>
        <w:t>O acesso às classes de salas limpas é feito por meio de antecâmaras separadas para pessoal e materiais.</w:t>
      </w:r>
    </w:p>
    <w:p w14:paraId="7C07F806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Os layouts das diferentes áreas podem ser inseridos para mostrar zonas higiênicas, fluxo de pessoal e de materiais. A referência ao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SMF (Site Master File)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 pode ser útil.</w:t>
      </w:r>
    </w:p>
    <w:p w14:paraId="58C2EB6D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Forneça detalhes sobre os tipos de sistemas de controle de contaminação existentes, como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RABS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,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Isoladores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, etc., descreva ou forneça o desenho dos sistemas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HVAC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 da instalação.</w:t>
      </w:r>
    </w:p>
    <w:p w14:paraId="48CE8824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Descreva as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utilidades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 utilizadas no processo (por exemplo, oxigênio, nitrogênio) e faça referência à seção específica sobre o controle de contaminação.</w:t>
      </w:r>
    </w:p>
    <w:p w14:paraId="3649BB39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Forneça informações gerais sobre a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sala limpa</w:t>
      </w:r>
      <w:r w:rsidRPr="00B95A02">
        <w:rPr>
          <w:rFonts w:ascii="Arial" w:hAnsi="Arial" w:cs="Arial"/>
          <w:color w:val="4F81BD" w:themeColor="accent1"/>
          <w:lang w:val="pt-BR"/>
        </w:rPr>
        <w:t>, como acabamento, qualidade do ar fornecido, material de construção, acesso à sala limpa, presença de intertravamento, etc.</w:t>
      </w:r>
    </w:p>
    <w:p w14:paraId="45A053FF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Forneça informações sobre o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controle de contaminação na sala limpa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, como medidas de controle de contaminação viável e não viável, tipos de sistemas para prevenir </w:t>
      </w:r>
      <w:r w:rsidRPr="00B95A02">
        <w:rPr>
          <w:rFonts w:ascii="Arial" w:hAnsi="Arial" w:cs="Arial"/>
          <w:color w:val="4F81BD" w:themeColor="accent1"/>
          <w:lang w:val="pt-BR"/>
        </w:rPr>
        <w:lastRenderedPageBreak/>
        <w:t>contaminação aérea durante o processo (por exemplo, fluxo unidirecional), diferencial de pressão, manutenção da sala limpa e dos sistemas/filtros HVAC, temperatura, umidade relativa, etc.</w:t>
      </w:r>
    </w:p>
    <w:p w14:paraId="32C332C2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1.2.2. Produtos Esterilizados Terminalmente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4291"/>
        <w:gridCol w:w="4301"/>
      </w:tblGrid>
      <w:tr w:rsidR="00B95A02" w14:paraId="522BA34D" w14:textId="77777777" w:rsidTr="00B95A02">
        <w:trPr>
          <w:trHeight w:val="412"/>
        </w:trPr>
        <w:tc>
          <w:tcPr>
            <w:tcW w:w="4358" w:type="dxa"/>
            <w:vMerge w:val="restart"/>
            <w:shd w:val="clear" w:color="auto" w:fill="D9D9D9" w:themeFill="background1" w:themeFillShade="D9"/>
            <w:vAlign w:val="center"/>
          </w:tcPr>
          <w:p w14:paraId="108395B1" w14:textId="69D8512E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Etapa do processo</w:t>
            </w:r>
          </w:p>
        </w:tc>
        <w:tc>
          <w:tcPr>
            <w:tcW w:w="4359" w:type="dxa"/>
            <w:vMerge w:val="restart"/>
            <w:shd w:val="clear" w:color="auto" w:fill="D9D9D9" w:themeFill="background1" w:themeFillShade="D9"/>
            <w:vAlign w:val="center"/>
          </w:tcPr>
          <w:p w14:paraId="23126BCA" w14:textId="5F642FE1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Classificação da sala</w:t>
            </w:r>
          </w:p>
        </w:tc>
      </w:tr>
      <w:tr w:rsidR="00B95A02" w14:paraId="1268320F" w14:textId="77777777" w:rsidTr="00B95A02">
        <w:trPr>
          <w:trHeight w:val="418"/>
        </w:trPr>
        <w:tc>
          <w:tcPr>
            <w:tcW w:w="4358" w:type="dxa"/>
            <w:vMerge/>
            <w:shd w:val="clear" w:color="auto" w:fill="D9D9D9" w:themeFill="background1" w:themeFillShade="D9"/>
            <w:vAlign w:val="center"/>
          </w:tcPr>
          <w:p w14:paraId="6F249783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4359" w:type="dxa"/>
            <w:vMerge/>
            <w:shd w:val="clear" w:color="auto" w:fill="D9D9D9" w:themeFill="background1" w:themeFillShade="D9"/>
            <w:vAlign w:val="center"/>
          </w:tcPr>
          <w:p w14:paraId="69D574EC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</w:tr>
      <w:tr w:rsidR="00B95A02" w14:paraId="2E31A12B" w14:textId="77777777" w:rsidTr="00B95A02">
        <w:trPr>
          <w:trHeight w:val="318"/>
        </w:trPr>
        <w:tc>
          <w:tcPr>
            <w:tcW w:w="4358" w:type="dxa"/>
            <w:vAlign w:val="center"/>
          </w:tcPr>
          <w:p w14:paraId="42552817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57EFCE80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2EB72F3C" w14:textId="77777777" w:rsidTr="00B95A02">
        <w:trPr>
          <w:trHeight w:val="318"/>
        </w:trPr>
        <w:tc>
          <w:tcPr>
            <w:tcW w:w="4358" w:type="dxa"/>
            <w:vAlign w:val="center"/>
          </w:tcPr>
          <w:p w14:paraId="4100B97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53D84267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1A608737" w14:textId="77777777" w:rsidTr="00B95A02">
        <w:trPr>
          <w:trHeight w:val="318"/>
        </w:trPr>
        <w:tc>
          <w:tcPr>
            <w:tcW w:w="4358" w:type="dxa"/>
            <w:vAlign w:val="center"/>
          </w:tcPr>
          <w:p w14:paraId="449BECF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2CDE5CE1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00B11FBF" w14:textId="77777777" w:rsidTr="00B95A02">
        <w:trPr>
          <w:trHeight w:val="318"/>
        </w:trPr>
        <w:tc>
          <w:tcPr>
            <w:tcW w:w="4358" w:type="dxa"/>
            <w:vAlign w:val="center"/>
          </w:tcPr>
          <w:p w14:paraId="042FFC2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3FE966B2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122ADDB2" w14:textId="77777777" w:rsidR="00B95A02" w:rsidRPr="0068039B" w:rsidRDefault="00B95A02" w:rsidP="006803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455C46DA" w14:textId="0608648A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1.2.</w:t>
      </w:r>
      <w:r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 xml:space="preserve">. Produtos </w:t>
      </w:r>
      <w:r>
        <w:rPr>
          <w:rFonts w:ascii="Arial" w:hAnsi="Arial" w:cs="Arial"/>
          <w:b/>
          <w:bCs/>
          <w:color w:val="4F81BD" w:themeColor="accent1"/>
          <w:lang w:val="pt-BR"/>
        </w:rPr>
        <w:t>Fabricados Assepticamente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4291"/>
        <w:gridCol w:w="4301"/>
      </w:tblGrid>
      <w:tr w:rsidR="00B95A02" w14:paraId="34C310C4" w14:textId="77777777" w:rsidTr="000E5F33">
        <w:trPr>
          <w:trHeight w:val="412"/>
        </w:trPr>
        <w:tc>
          <w:tcPr>
            <w:tcW w:w="4358" w:type="dxa"/>
            <w:vMerge w:val="restart"/>
            <w:shd w:val="clear" w:color="auto" w:fill="D9D9D9" w:themeFill="background1" w:themeFillShade="D9"/>
            <w:vAlign w:val="center"/>
          </w:tcPr>
          <w:p w14:paraId="0016EB9F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Etapa do processo</w:t>
            </w:r>
          </w:p>
        </w:tc>
        <w:tc>
          <w:tcPr>
            <w:tcW w:w="4359" w:type="dxa"/>
            <w:vMerge w:val="restart"/>
            <w:shd w:val="clear" w:color="auto" w:fill="D9D9D9" w:themeFill="background1" w:themeFillShade="D9"/>
            <w:vAlign w:val="center"/>
          </w:tcPr>
          <w:p w14:paraId="0A59DEC0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Classificação da sala</w:t>
            </w:r>
          </w:p>
        </w:tc>
      </w:tr>
      <w:tr w:rsidR="00B95A02" w14:paraId="4847DB34" w14:textId="77777777" w:rsidTr="000E5F33">
        <w:trPr>
          <w:trHeight w:val="418"/>
        </w:trPr>
        <w:tc>
          <w:tcPr>
            <w:tcW w:w="4358" w:type="dxa"/>
            <w:vMerge/>
            <w:shd w:val="clear" w:color="auto" w:fill="D9D9D9" w:themeFill="background1" w:themeFillShade="D9"/>
            <w:vAlign w:val="center"/>
          </w:tcPr>
          <w:p w14:paraId="3A670C5C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4359" w:type="dxa"/>
            <w:vMerge/>
            <w:shd w:val="clear" w:color="auto" w:fill="D9D9D9" w:themeFill="background1" w:themeFillShade="D9"/>
            <w:vAlign w:val="center"/>
          </w:tcPr>
          <w:p w14:paraId="1E51EEEE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</w:tr>
      <w:tr w:rsidR="00B95A02" w14:paraId="0BE242F6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07B14352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367043B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159689AC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022F806F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735EC41D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6157314D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4B2C3CB6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7B21F8E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270D7972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690B406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6FB25255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4204ED5D" w14:textId="77777777" w:rsidR="0068039B" w:rsidRDefault="0068039B" w:rsidP="001B30F1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34C68D5" w14:textId="045C7005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lang w:val="pt-BR"/>
        </w:rPr>
        <w:t>1.2.</w:t>
      </w:r>
      <w:r>
        <w:rPr>
          <w:rFonts w:ascii="Arial" w:hAnsi="Arial" w:cs="Arial"/>
          <w:b/>
          <w:bCs/>
          <w:color w:val="4F81BD" w:themeColor="accent1"/>
          <w:lang w:val="pt-BR"/>
        </w:rPr>
        <w:t>4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Processos de baixa carga / Processo com controle de biocarga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4291"/>
        <w:gridCol w:w="4301"/>
      </w:tblGrid>
      <w:tr w:rsidR="00B95A02" w14:paraId="038C5B1D" w14:textId="77777777" w:rsidTr="000E5F33">
        <w:trPr>
          <w:trHeight w:val="412"/>
        </w:trPr>
        <w:tc>
          <w:tcPr>
            <w:tcW w:w="4358" w:type="dxa"/>
            <w:vMerge w:val="restart"/>
            <w:shd w:val="clear" w:color="auto" w:fill="D9D9D9" w:themeFill="background1" w:themeFillShade="D9"/>
            <w:vAlign w:val="center"/>
          </w:tcPr>
          <w:p w14:paraId="555EB561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Etapa do processo</w:t>
            </w:r>
          </w:p>
        </w:tc>
        <w:tc>
          <w:tcPr>
            <w:tcW w:w="4359" w:type="dxa"/>
            <w:vMerge w:val="restart"/>
            <w:shd w:val="clear" w:color="auto" w:fill="D9D9D9" w:themeFill="background1" w:themeFillShade="D9"/>
            <w:vAlign w:val="center"/>
          </w:tcPr>
          <w:p w14:paraId="2D6129C6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Classificação da sala</w:t>
            </w:r>
          </w:p>
        </w:tc>
      </w:tr>
      <w:tr w:rsidR="00B95A02" w14:paraId="2666BF12" w14:textId="77777777" w:rsidTr="000E5F33">
        <w:trPr>
          <w:trHeight w:val="418"/>
        </w:trPr>
        <w:tc>
          <w:tcPr>
            <w:tcW w:w="4358" w:type="dxa"/>
            <w:vMerge/>
            <w:shd w:val="clear" w:color="auto" w:fill="D9D9D9" w:themeFill="background1" w:themeFillShade="D9"/>
            <w:vAlign w:val="center"/>
          </w:tcPr>
          <w:p w14:paraId="3A901445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4359" w:type="dxa"/>
            <w:vMerge/>
            <w:shd w:val="clear" w:color="auto" w:fill="D9D9D9" w:themeFill="background1" w:themeFillShade="D9"/>
            <w:vAlign w:val="center"/>
          </w:tcPr>
          <w:p w14:paraId="44665F67" w14:textId="77777777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</w:tr>
      <w:tr w:rsidR="00B95A02" w14:paraId="13B1A535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4EBCE86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402CD9F0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09D87F83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211B8DA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39158693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7AD0AD3A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51A06A5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121CED8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728EA4BB" w14:textId="77777777" w:rsidTr="000E5F33">
        <w:trPr>
          <w:trHeight w:val="318"/>
        </w:trPr>
        <w:tc>
          <w:tcPr>
            <w:tcW w:w="4358" w:type="dxa"/>
            <w:vAlign w:val="center"/>
          </w:tcPr>
          <w:p w14:paraId="329286D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4359" w:type="dxa"/>
            <w:vAlign w:val="center"/>
          </w:tcPr>
          <w:p w14:paraId="3A4B3720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4FC5AEB4" w14:textId="77777777" w:rsid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77ABAB19" w14:textId="4623356F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2. Instalações e Equipamentos</w:t>
      </w:r>
    </w:p>
    <w:p w14:paraId="0FCFE1BC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Embora não faça parte dos elementos listados no Anexo 1, podem ser feitas referências à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Qualificação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 (POPs, Plano Mestre, etc.) aqui.</w:t>
      </w:r>
    </w:p>
    <w:p w14:paraId="3513A251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2.1. Instalações</w:t>
      </w:r>
    </w:p>
    <w:p w14:paraId="4D46E008" w14:textId="77777777" w:rsidR="00B95A02" w:rsidRPr="00B95A02" w:rsidRDefault="00B95A02" w:rsidP="00B95A02">
      <w:pPr>
        <w:jc w:val="both"/>
        <w:rPr>
          <w:rFonts w:ascii="Arial" w:hAnsi="Arial" w:cs="Arial"/>
          <w:color w:val="000000" w:themeColor="text1"/>
          <w:lang w:val="pt-BR"/>
        </w:rPr>
      </w:pPr>
      <w:r w:rsidRPr="00B95A02">
        <w:rPr>
          <w:rFonts w:ascii="Arial" w:hAnsi="Arial" w:cs="Arial"/>
          <w:color w:val="000000" w:themeColor="text1"/>
          <w:lang w:val="pt-BR"/>
        </w:rPr>
        <w:t xml:space="preserve">Com relação às instalações, consulte a </w:t>
      </w:r>
      <w:r w:rsidRPr="00B95A02">
        <w:rPr>
          <w:rFonts w:ascii="Arial" w:hAnsi="Arial" w:cs="Arial"/>
          <w:b/>
          <w:bCs/>
          <w:color w:val="000000" w:themeColor="text1"/>
          <w:lang w:val="pt-BR"/>
        </w:rPr>
        <w:t>Seção 1.2</w:t>
      </w:r>
      <w:r w:rsidRPr="00B95A02">
        <w:rPr>
          <w:rFonts w:ascii="Arial" w:hAnsi="Arial" w:cs="Arial"/>
          <w:color w:val="000000" w:themeColor="text1"/>
          <w:lang w:val="pt-BR"/>
        </w:rPr>
        <w:t>.</w:t>
      </w:r>
    </w:p>
    <w:p w14:paraId="330D6E3F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lastRenderedPageBreak/>
        <w:t>2.2. Equipamentos</w:t>
      </w:r>
    </w:p>
    <w:p w14:paraId="254B2A79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Para equipamentos principais, considere fazer referência ao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SMF (Site Master File)</w:t>
      </w:r>
      <w:r w:rsidRPr="00B95A02">
        <w:rPr>
          <w:rFonts w:ascii="Arial" w:hAnsi="Arial" w:cs="Arial"/>
          <w:color w:val="4F81BD" w:themeColor="accent1"/>
          <w:lang w:val="pt-BR"/>
        </w:rPr>
        <w:t xml:space="preserve"> — ou copie as informações diretamente do SMF.</w:t>
      </w:r>
    </w:p>
    <w:p w14:paraId="4FA937A7" w14:textId="2E639588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9C8D763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3.</w:t>
      </w:r>
    </w:p>
    <w:p w14:paraId="18FBC304" w14:textId="77777777" w:rsidR="00B95A02" w:rsidRPr="00B95A02" w:rsidRDefault="00B95A02" w:rsidP="00B95A0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95A02">
        <w:rPr>
          <w:rFonts w:ascii="Arial" w:hAnsi="Arial" w:cs="Arial"/>
          <w:color w:val="4F81BD" w:themeColor="accent1"/>
          <w:lang w:val="pt-BR"/>
        </w:rPr>
        <w:t xml:space="preserve">O item nº 3 está vazio – foi omitido no </w:t>
      </w:r>
      <w:r w:rsidRPr="00B95A02">
        <w:rPr>
          <w:rFonts w:ascii="Arial" w:hAnsi="Arial" w:cs="Arial"/>
          <w:b/>
          <w:bCs/>
          <w:color w:val="4F81BD" w:themeColor="accent1"/>
          <w:lang w:val="pt-BR"/>
        </w:rPr>
        <w:t>rascunho do Anexo 1</w:t>
      </w:r>
      <w:r w:rsidRPr="00B95A02">
        <w:rPr>
          <w:rFonts w:ascii="Arial" w:hAnsi="Arial" w:cs="Arial"/>
          <w:color w:val="4F81BD" w:themeColor="accent1"/>
          <w:lang w:val="pt-BR"/>
        </w:rPr>
        <w:t>.</w:t>
      </w:r>
    </w:p>
    <w:p w14:paraId="732F2932" w14:textId="77777777" w:rsidR="00B95A02" w:rsidRDefault="00B95A02" w:rsidP="001B30F1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440A3F2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4. Pessoal</w:t>
      </w:r>
    </w:p>
    <w:p w14:paraId="5EDE3B93" w14:textId="77777777" w:rsidR="00B95A02" w:rsidRPr="00B95A02" w:rsidRDefault="00B95A02" w:rsidP="00B95A0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4.1. Geral</w:t>
      </w:r>
    </w:p>
    <w:p w14:paraId="0EA06D3E" w14:textId="77777777" w:rsidR="00B95A02" w:rsidRPr="00B95A02" w:rsidRDefault="00B95A02" w:rsidP="00B95A02">
      <w:pPr>
        <w:jc w:val="both"/>
        <w:rPr>
          <w:rFonts w:ascii="Arial" w:hAnsi="Arial" w:cs="Arial"/>
          <w:color w:val="000000" w:themeColor="text1"/>
          <w:lang w:val="pt-BR"/>
        </w:rPr>
      </w:pPr>
      <w:r w:rsidRPr="00B95A02">
        <w:rPr>
          <w:rFonts w:ascii="Arial" w:hAnsi="Arial" w:cs="Arial"/>
          <w:color w:val="000000" w:themeColor="text1"/>
          <w:lang w:val="pt-BR"/>
        </w:rPr>
        <w:t>O pessoal é treinado em todas as áreas de suas responsabilidades.</w:t>
      </w:r>
      <w:r w:rsidRPr="00B95A02">
        <w:rPr>
          <w:rFonts w:ascii="Arial" w:hAnsi="Arial" w:cs="Arial"/>
          <w:color w:val="000000" w:themeColor="text1"/>
          <w:lang w:val="pt-BR"/>
        </w:rPr>
        <w:br/>
        <w:t>Mais detalhes sobre as áreas e os procedimentos aplicáveis são fornecidos a seguir: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9"/>
        <w:gridCol w:w="2749"/>
        <w:gridCol w:w="1904"/>
      </w:tblGrid>
      <w:tr w:rsidR="00B95A02" w14:paraId="42B36E8B" w14:textId="22D51343" w:rsidTr="004F34C4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4D789581" w14:textId="0F3A66B8" w:rsidR="00B95A02" w:rsidRPr="0068039B" w:rsidRDefault="00B95A02" w:rsidP="00B95A0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6350B453" w14:textId="3B86D499" w:rsidR="00B95A02" w:rsidRDefault="00B95A02" w:rsidP="00B95A0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95A02" w14:paraId="22EA11C3" w14:textId="167B95A8" w:rsidTr="004F34C4">
        <w:trPr>
          <w:trHeight w:val="318"/>
        </w:trPr>
        <w:tc>
          <w:tcPr>
            <w:tcW w:w="4039" w:type="dxa"/>
            <w:vMerge/>
            <w:vAlign w:val="center"/>
          </w:tcPr>
          <w:p w14:paraId="71914B6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E072382" w14:textId="3AF7C5EE" w:rsidR="00B95A02" w:rsidRPr="004F34C4" w:rsidRDefault="00B95A02" w:rsidP="00B95A0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1E2919B6" w14:textId="2897F34E" w:rsidR="00B95A02" w:rsidRPr="004F34C4" w:rsidRDefault="00B95A02" w:rsidP="00B95A0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95A02" w14:paraId="051DF93D" w14:textId="29CC2021" w:rsidTr="004F34C4">
        <w:trPr>
          <w:trHeight w:val="318"/>
        </w:trPr>
        <w:tc>
          <w:tcPr>
            <w:tcW w:w="4039" w:type="dxa"/>
            <w:vAlign w:val="center"/>
          </w:tcPr>
          <w:p w14:paraId="08B83019" w14:textId="4A0819C3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Treinamento</w:t>
            </w:r>
          </w:p>
        </w:tc>
        <w:tc>
          <w:tcPr>
            <w:tcW w:w="2835" w:type="dxa"/>
            <w:vAlign w:val="center"/>
          </w:tcPr>
          <w:p w14:paraId="1D19E2C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6F950A2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61E0548D" w14:textId="759704A1" w:rsidTr="004F34C4">
        <w:trPr>
          <w:trHeight w:val="318"/>
        </w:trPr>
        <w:tc>
          <w:tcPr>
            <w:tcW w:w="4039" w:type="dxa"/>
            <w:vAlign w:val="center"/>
          </w:tcPr>
          <w:p w14:paraId="69EF3FD2" w14:textId="2460DB42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Treinamento BPF Geral</w:t>
            </w:r>
          </w:p>
        </w:tc>
        <w:tc>
          <w:tcPr>
            <w:tcW w:w="2835" w:type="dxa"/>
            <w:vAlign w:val="center"/>
          </w:tcPr>
          <w:p w14:paraId="1A705101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D99940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49A8EAE8" w14:textId="47D03D49" w:rsidTr="004F34C4">
        <w:trPr>
          <w:trHeight w:val="318"/>
        </w:trPr>
        <w:tc>
          <w:tcPr>
            <w:tcW w:w="4039" w:type="dxa"/>
            <w:vAlign w:val="center"/>
          </w:tcPr>
          <w:p w14:paraId="7618801C" w14:textId="5DA3C652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Comportamento asséptico</w:t>
            </w:r>
          </w:p>
        </w:tc>
        <w:tc>
          <w:tcPr>
            <w:tcW w:w="2835" w:type="dxa"/>
            <w:vAlign w:val="center"/>
          </w:tcPr>
          <w:p w14:paraId="24F798AD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ACBFF93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14:paraId="203519AA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7744A286" w14:textId="12954139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Qualificação de pessoas</w:t>
            </w:r>
          </w:p>
        </w:tc>
        <w:tc>
          <w:tcPr>
            <w:tcW w:w="2835" w:type="dxa"/>
            <w:vAlign w:val="center"/>
          </w:tcPr>
          <w:p w14:paraId="1F1BF4BB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E885BC4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15B25EC6" w14:textId="77777777" w:rsid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</w:p>
    <w:p w14:paraId="2D51CFAB" w14:textId="6B4631EB" w:rsidR="004F34C4" w:rsidRPr="00B95A02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</w:t>
      </w: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Requerimentos de vestimenta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6"/>
        <w:gridCol w:w="2751"/>
        <w:gridCol w:w="1905"/>
      </w:tblGrid>
      <w:tr w:rsidR="00B95A02" w14:paraId="024A7FFF" w14:textId="77777777" w:rsidTr="004F34C4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70F9C5B5" w14:textId="0AF4DE09" w:rsidR="00B95A02" w:rsidRPr="0068039B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3922ACC3" w14:textId="77777777" w:rsidR="00B95A02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95A02" w14:paraId="6BA860B9" w14:textId="77777777" w:rsidTr="004F34C4">
        <w:trPr>
          <w:trHeight w:val="318"/>
        </w:trPr>
        <w:tc>
          <w:tcPr>
            <w:tcW w:w="4039" w:type="dxa"/>
            <w:vMerge/>
            <w:vAlign w:val="center"/>
          </w:tcPr>
          <w:p w14:paraId="7F1D143A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99DF6ED" w14:textId="77777777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5C16A442" w14:textId="77777777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95A02" w:rsidRPr="00F80960" w14:paraId="0D9805A7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359396DD" w14:textId="418BA5CE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Requerimentos de vestimenta para diferentes áreas limpas </w:t>
            </w:r>
          </w:p>
        </w:tc>
        <w:tc>
          <w:tcPr>
            <w:tcW w:w="2835" w:type="dxa"/>
            <w:vAlign w:val="center"/>
          </w:tcPr>
          <w:p w14:paraId="7A0F6749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BFA54E7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B95A02" w:rsidRPr="00F80960" w14:paraId="53E2F2CA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1C1D8214" w14:textId="1B8F463D" w:rsidR="00B95A02" w:rsidRPr="004F34C4" w:rsidRDefault="00B95A0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33140BC3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3141128" w14:textId="77777777" w:rsidR="00B95A02" w:rsidRPr="0068039B" w:rsidRDefault="00B95A0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270B20E5" w14:textId="77777777" w:rsidR="00B95A02" w:rsidRDefault="00B95A02" w:rsidP="001B30F1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1712558" w14:textId="103DFA6B" w:rsidR="004F34C4" w:rsidRPr="00B95A02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3</w:t>
      </w: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Vestuário Sala Limpa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2"/>
        <w:gridCol w:w="2754"/>
        <w:gridCol w:w="1906"/>
      </w:tblGrid>
      <w:tr w:rsidR="004F34C4" w14:paraId="695CDBCB" w14:textId="77777777" w:rsidTr="004F34C4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47FCE716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4C3A084A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5BB62ADC" w14:textId="77777777" w:rsidTr="004F34C4">
        <w:trPr>
          <w:trHeight w:val="318"/>
        </w:trPr>
        <w:tc>
          <w:tcPr>
            <w:tcW w:w="4039" w:type="dxa"/>
            <w:vMerge/>
            <w:vAlign w:val="center"/>
          </w:tcPr>
          <w:p w14:paraId="2A68DD94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40940A6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4201D78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F80960" w14:paraId="2E82B63A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76972B6F" w14:textId="1D040368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O material, a qualidade e o design das roupas de sala limpa são adequados para o respectivo grau de sala limpa.</w:t>
            </w:r>
          </w:p>
        </w:tc>
        <w:tc>
          <w:tcPr>
            <w:tcW w:w="2835" w:type="dxa"/>
            <w:vAlign w:val="center"/>
          </w:tcPr>
          <w:p w14:paraId="206A48A6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871BD95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4F34C4" w:rsidRPr="00F80960" w14:paraId="0813F2FE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67959247" w14:textId="6881ED75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Troca e substituição das roupas de sala limpa</w:t>
            </w:r>
          </w:p>
        </w:tc>
        <w:tc>
          <w:tcPr>
            <w:tcW w:w="2835" w:type="dxa"/>
            <w:vAlign w:val="center"/>
          </w:tcPr>
          <w:p w14:paraId="7019AB5F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3D045D6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4F34C4" w:rsidRPr="00F80960" w14:paraId="0D81BAC3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6EAF8197" w14:textId="4582E47C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lastRenderedPageBreak/>
              <w:t>Limpeza das roupas de sala limpa</w:t>
            </w:r>
          </w:p>
        </w:tc>
        <w:tc>
          <w:tcPr>
            <w:tcW w:w="2835" w:type="dxa"/>
            <w:vAlign w:val="center"/>
          </w:tcPr>
          <w:p w14:paraId="5E0B6747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685FE82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4F34C4" w:rsidRPr="00F80960" w14:paraId="3A3D52C4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32FC5FBC" w14:textId="3279821B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Esterilização das roupas de sala limpa</w:t>
            </w:r>
          </w:p>
        </w:tc>
        <w:tc>
          <w:tcPr>
            <w:tcW w:w="2835" w:type="dxa"/>
            <w:vAlign w:val="center"/>
          </w:tcPr>
          <w:p w14:paraId="16F17030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769A074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  <w:tr w:rsidR="004F34C4" w:rsidRPr="00F80960" w14:paraId="30531875" w14:textId="77777777" w:rsidTr="004F34C4">
        <w:trPr>
          <w:trHeight w:val="318"/>
        </w:trPr>
        <w:tc>
          <w:tcPr>
            <w:tcW w:w="4039" w:type="dxa"/>
            <w:vAlign w:val="center"/>
          </w:tcPr>
          <w:p w14:paraId="3206E93B" w14:textId="1D48F36A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Validação do processo de esterilização.</w:t>
            </w:r>
          </w:p>
        </w:tc>
        <w:tc>
          <w:tcPr>
            <w:tcW w:w="2835" w:type="dxa"/>
            <w:vAlign w:val="center"/>
          </w:tcPr>
          <w:p w14:paraId="4E2E4AE2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0FBA0C2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</w:tr>
    </w:tbl>
    <w:p w14:paraId="5A5B048D" w14:textId="77777777" w:rsid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</w:p>
    <w:p w14:paraId="3A8EEB8E" w14:textId="0FAC91D7" w:rsidR="004F34C4" w:rsidRPr="00B95A02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4</w:t>
      </w:r>
      <w:r w:rsidRPr="00B95A0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Monitoramento de pessoas</w:t>
      </w:r>
    </w:p>
    <w:p w14:paraId="599C064D" w14:textId="77777777" w:rsidR="004F34C4" w:rsidRP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Nota:</w:t>
      </w:r>
      <w:r w:rsidRPr="004F34C4">
        <w:rPr>
          <w:rFonts w:ascii="Arial" w:hAnsi="Arial" w:cs="Arial"/>
          <w:color w:val="4F81BD" w:themeColor="accent1"/>
          <w:lang w:val="pt-BR"/>
        </w:rPr>
        <w:t xml:space="preserve"> A Seção 14 do Anexo 1 trata de monitoramento; portanto, neste modelo, o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Monitoramento de Pessoal</w:t>
      </w:r>
      <w:r w:rsidRPr="004F34C4">
        <w:rPr>
          <w:rFonts w:ascii="Arial" w:hAnsi="Arial" w:cs="Arial"/>
          <w:color w:val="4F81BD" w:themeColor="accent1"/>
          <w:lang w:val="pt-BR"/>
        </w:rPr>
        <w:t xml:space="preserve"> é mencionado na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Seção 14.3</w:t>
      </w:r>
      <w:r w:rsidRPr="004F34C4">
        <w:rPr>
          <w:rFonts w:ascii="Arial" w:hAnsi="Arial" w:cs="Arial"/>
          <w:color w:val="4F81BD" w:themeColor="accent1"/>
          <w:lang w:val="pt-BR"/>
        </w:rPr>
        <w:t>.</w:t>
      </w:r>
      <w:r w:rsidRPr="004F34C4">
        <w:rPr>
          <w:rFonts w:ascii="Arial" w:hAnsi="Arial" w:cs="Arial"/>
          <w:color w:val="4F81BD" w:themeColor="accent1"/>
          <w:lang w:val="pt-BR"/>
        </w:rPr>
        <w:br/>
        <w:t xml:space="preserve">O monitoramento de pessoal pode ser mencionado tanto na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Seção 4 – “Pessoal”</w:t>
      </w:r>
      <w:r w:rsidRPr="004F34C4">
        <w:rPr>
          <w:rFonts w:ascii="Arial" w:hAnsi="Arial" w:cs="Arial"/>
          <w:color w:val="4F81BD" w:themeColor="accent1"/>
          <w:lang w:val="pt-BR"/>
        </w:rPr>
        <w:t xml:space="preserve"> quanto na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Seção 14</w:t>
      </w:r>
      <w:r w:rsidRPr="004F34C4">
        <w:rPr>
          <w:rFonts w:ascii="Arial" w:hAnsi="Arial" w:cs="Arial"/>
          <w:color w:val="4F81BD" w:themeColor="accent1"/>
          <w:lang w:val="pt-BR"/>
        </w:rPr>
        <w:t>, dependendo da preferência.</w:t>
      </w:r>
      <w:r w:rsidRPr="004F34C4">
        <w:rPr>
          <w:rFonts w:ascii="Arial" w:hAnsi="Arial" w:cs="Arial"/>
          <w:color w:val="4F81BD" w:themeColor="accent1"/>
          <w:lang w:val="pt-BR"/>
        </w:rPr>
        <w:br/>
        <w:t xml:space="preserve">No entanto, deve haver uma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referência cruzada</w:t>
      </w:r>
      <w:r w:rsidRPr="004F34C4">
        <w:rPr>
          <w:rFonts w:ascii="Arial" w:hAnsi="Arial" w:cs="Arial"/>
          <w:color w:val="4F81BD" w:themeColor="accent1"/>
          <w:lang w:val="pt-BR"/>
        </w:rPr>
        <w:t xml:space="preserve"> entre as seções.</w:t>
      </w:r>
    </w:p>
    <w:p w14:paraId="51AAA3CB" w14:textId="77777777" w:rsidR="004F34C4" w:rsidRP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  <w:r w:rsidRPr="004F34C4">
        <w:rPr>
          <w:rFonts w:ascii="Arial" w:hAnsi="Arial" w:cs="Arial"/>
          <w:color w:val="4F81BD" w:themeColor="accent1"/>
          <w:lang w:val="pt-BR"/>
        </w:rPr>
        <w:t>Resuma os métodos de controle de contaminação do pessoal que estão em vigor, bem como os procedimentos de vestimenta (gowning).</w:t>
      </w:r>
      <w:r w:rsidRPr="004F34C4">
        <w:rPr>
          <w:rFonts w:ascii="Arial" w:hAnsi="Arial" w:cs="Arial"/>
          <w:color w:val="4F81BD" w:themeColor="accent1"/>
          <w:lang w:val="pt-BR"/>
        </w:rPr>
        <w:br/>
        <w:t>Indique se alguma dessas atividades é qualificada e descreva o processo de qualificação e a qualificação periódica.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0"/>
        <w:gridCol w:w="2755"/>
        <w:gridCol w:w="1907"/>
      </w:tblGrid>
      <w:tr w:rsidR="004F34C4" w14:paraId="66FEB756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510E27D9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271B8D0B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43D67C07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54CC3E00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A736516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77F9C3B9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14:paraId="68A1EF41" w14:textId="77777777" w:rsidTr="00100D66">
        <w:trPr>
          <w:trHeight w:val="318"/>
        </w:trPr>
        <w:tc>
          <w:tcPr>
            <w:tcW w:w="4039" w:type="dxa"/>
            <w:vAlign w:val="center"/>
          </w:tcPr>
          <w:p w14:paraId="16610112" w14:textId="7C59329B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lang w:val="pt-BR"/>
              </w:rPr>
              <w:t>ARs, POPs, avaliações</w:t>
            </w:r>
          </w:p>
        </w:tc>
        <w:tc>
          <w:tcPr>
            <w:tcW w:w="4779" w:type="dxa"/>
            <w:gridSpan w:val="2"/>
            <w:vAlign w:val="center"/>
          </w:tcPr>
          <w:p w14:paraId="29EC4864" w14:textId="10B450CD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  <w:r>
              <w:rPr>
                <w:rFonts w:ascii="Arial" w:hAnsi="Arial" w:cs="Arial"/>
                <w:color w:val="000000" w:themeColor="text1"/>
                <w:lang w:val="pt-BR"/>
              </w:rPr>
              <w:t>Referenciar a seção 14</w:t>
            </w:r>
          </w:p>
        </w:tc>
      </w:tr>
    </w:tbl>
    <w:p w14:paraId="2C9451AD" w14:textId="77777777" w:rsid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DA95A03" w14:textId="77777777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5. Utilidades</w:t>
      </w:r>
    </w:p>
    <w:p w14:paraId="54EEE275" w14:textId="77777777" w:rsidR="004F34C4" w:rsidRP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  <w:r w:rsidRPr="004F34C4">
        <w:rPr>
          <w:rFonts w:ascii="Arial" w:hAnsi="Arial" w:cs="Arial"/>
          <w:color w:val="4F81BD" w:themeColor="accent1"/>
          <w:lang w:val="pt-BR"/>
        </w:rPr>
        <w:t xml:space="preserve">Considere fazer referência ao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SMF (Site Master File)</w:t>
      </w:r>
      <w:r w:rsidRPr="004F34C4">
        <w:rPr>
          <w:rFonts w:ascii="Arial" w:hAnsi="Arial" w:cs="Arial"/>
          <w:color w:val="4F81BD" w:themeColor="accent1"/>
          <w:lang w:val="pt-BR"/>
        </w:rPr>
        <w:t>!</w:t>
      </w:r>
    </w:p>
    <w:p w14:paraId="6B727346" w14:textId="77777777" w:rsidR="004F34C4" w:rsidRP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  <w:r w:rsidRPr="004F34C4">
        <w:rPr>
          <w:rFonts w:ascii="Arial" w:hAnsi="Arial" w:cs="Arial"/>
          <w:color w:val="4F81BD" w:themeColor="accent1"/>
          <w:lang w:val="pt-BR"/>
        </w:rPr>
        <w:t xml:space="preserve">Descreva brevemente o método de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preparo e distribuição</w:t>
      </w:r>
      <w:r w:rsidRPr="004F34C4">
        <w:rPr>
          <w:rFonts w:ascii="Arial" w:hAnsi="Arial" w:cs="Arial"/>
          <w:color w:val="4F81BD" w:themeColor="accent1"/>
          <w:lang w:val="pt-BR"/>
        </w:rPr>
        <w:t xml:space="preserve"> – consulte a seção de 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monitoramento</w:t>
      </w:r>
      <w:r w:rsidRPr="004F34C4">
        <w:rPr>
          <w:rFonts w:ascii="Arial" w:hAnsi="Arial" w:cs="Arial"/>
          <w:color w:val="4F81BD" w:themeColor="accent1"/>
          <w:lang w:val="pt-BR"/>
        </w:rPr>
        <w:t>.</w:t>
      </w:r>
    </w:p>
    <w:p w14:paraId="20BD3D4B" w14:textId="77777777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5.1. Água</w:t>
      </w:r>
    </w:p>
    <w:p w14:paraId="16E51946" w14:textId="77777777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5.1.1. Água Purificada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25D0703B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58642A1B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15B04193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4198FF50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486E5A61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C8E180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023B8CE6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78D199A7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5877CE7" w14:textId="00A3F04D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59CF766B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6FED22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600DBE7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C009A4D" w14:textId="406C13FB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5E2C2E8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002A20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6080E" w:rsidRPr="004F34C4" w14:paraId="4A77189F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A513E6B" w14:textId="2CC7933E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69D43828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D7B3398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78ACBDED" w14:textId="77777777" w:rsidTr="00CF5B6B">
        <w:trPr>
          <w:trHeight w:val="318"/>
        </w:trPr>
        <w:tc>
          <w:tcPr>
            <w:tcW w:w="4039" w:type="dxa"/>
            <w:vAlign w:val="center"/>
          </w:tcPr>
          <w:p w14:paraId="55F873C3" w14:textId="28853851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72C1321F" w14:textId="55778F7A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14.2.1</w:t>
            </w:r>
          </w:p>
        </w:tc>
      </w:tr>
    </w:tbl>
    <w:p w14:paraId="6E4051C1" w14:textId="77777777" w:rsid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0E0497BA" w14:textId="4186DFB1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5.1.</w:t>
      </w:r>
      <w:r>
        <w:rPr>
          <w:rFonts w:ascii="Arial" w:hAnsi="Arial" w:cs="Arial"/>
          <w:b/>
          <w:bCs/>
          <w:color w:val="4F81BD" w:themeColor="accent1"/>
          <w:lang w:val="pt-BR"/>
        </w:rPr>
        <w:t>2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Água </w:t>
      </w:r>
      <w:r>
        <w:rPr>
          <w:rFonts w:ascii="Arial" w:hAnsi="Arial" w:cs="Arial"/>
          <w:b/>
          <w:bCs/>
          <w:color w:val="4F81BD" w:themeColor="accent1"/>
          <w:lang w:val="pt-BR"/>
        </w:rPr>
        <w:t>WFI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48B570E3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613D6AE6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0C3AD977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1F13E0CE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73B89951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BDEA50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776CAC1E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53647A6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8A3F382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lastRenderedPageBreak/>
              <w:t>Especificação</w:t>
            </w:r>
          </w:p>
        </w:tc>
        <w:tc>
          <w:tcPr>
            <w:tcW w:w="2835" w:type="dxa"/>
            <w:vAlign w:val="center"/>
          </w:tcPr>
          <w:p w14:paraId="24C1B6AB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6897BF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60248CB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0B8C7EA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5BDA3792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D92B48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64829DBB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538058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0137ED59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9992DE5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511DE6D0" w14:textId="77777777" w:rsidTr="001A4C70">
        <w:trPr>
          <w:trHeight w:val="318"/>
        </w:trPr>
        <w:tc>
          <w:tcPr>
            <w:tcW w:w="4039" w:type="dxa"/>
            <w:vAlign w:val="center"/>
          </w:tcPr>
          <w:p w14:paraId="01E9F7B0" w14:textId="3DB60A84" w:rsidR="004F34C4" w:rsidRPr="004F34C4" w:rsidRDefault="004F34C4" w:rsidP="004F34C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49CCCE94" w14:textId="28C47941" w:rsidR="004F34C4" w:rsidRPr="004F34C4" w:rsidRDefault="004F34C4" w:rsidP="004F34C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14.2.1</w:t>
            </w:r>
          </w:p>
        </w:tc>
      </w:tr>
    </w:tbl>
    <w:p w14:paraId="2BA001A8" w14:textId="77777777" w:rsid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63663ADE" w14:textId="081070D3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5.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</w:t>
      </w: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Vapor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43F66FA2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5E92F9EF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478B3ED6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0D041CC0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60257629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832FAB5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76C8B63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2D87E49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1CFBC73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497D8BA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0635384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1689A7CF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1595596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6B35487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628CE92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741BDC80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9F771E9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64D9DCF2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4FE1FEF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22695EC0" w14:textId="77777777" w:rsidTr="002D36F6">
        <w:trPr>
          <w:trHeight w:val="318"/>
        </w:trPr>
        <w:tc>
          <w:tcPr>
            <w:tcW w:w="4039" w:type="dxa"/>
            <w:vAlign w:val="center"/>
          </w:tcPr>
          <w:p w14:paraId="6BE7220B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5442D16E" w14:textId="27751B93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14.2.1</w:t>
            </w:r>
          </w:p>
        </w:tc>
      </w:tr>
    </w:tbl>
    <w:p w14:paraId="579BB509" w14:textId="77777777" w:rsid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04EFD8E8" w14:textId="36D038DB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5.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Gases</w:t>
      </w:r>
    </w:p>
    <w:p w14:paraId="60505C5C" w14:textId="016A1C08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</w:t>
      </w:r>
      <w:r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.</w:t>
      </w:r>
      <w:r>
        <w:rPr>
          <w:rFonts w:ascii="Arial" w:hAnsi="Arial" w:cs="Arial"/>
          <w:b/>
          <w:bCs/>
          <w:color w:val="4F81BD" w:themeColor="accent1"/>
          <w:lang w:val="pt-BR"/>
        </w:rPr>
        <w:t>1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Produtos com contato com ar comprimido (contato direto ou indireto com produto)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5DA3FBF7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05F415C9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7FF463C2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32F102F8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7706218C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141EA8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18CE070B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5041EBA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30BB2FE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52DE9E6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16EBC7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0912E43E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BFAB3F3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2BD626E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1A02E09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47383393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4CAD14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63CA5CF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55D4BF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56C4A62C" w14:textId="77777777" w:rsidTr="00B654A6">
        <w:trPr>
          <w:trHeight w:val="318"/>
        </w:trPr>
        <w:tc>
          <w:tcPr>
            <w:tcW w:w="4039" w:type="dxa"/>
            <w:vAlign w:val="center"/>
          </w:tcPr>
          <w:p w14:paraId="521F5702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697208B3" w14:textId="16C595F8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14.2.4</w:t>
            </w:r>
          </w:p>
        </w:tc>
      </w:tr>
    </w:tbl>
    <w:p w14:paraId="534A3141" w14:textId="77777777" w:rsid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67A11E8A" w14:textId="51B0ECD9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</w:t>
      </w:r>
      <w:r w:rsidR="0051009B">
        <w:rPr>
          <w:rFonts w:ascii="Arial" w:hAnsi="Arial" w:cs="Arial"/>
          <w:b/>
          <w:bCs/>
          <w:color w:val="4F81BD" w:themeColor="accent1"/>
          <w:lang w:val="pt-BR"/>
        </w:rPr>
        <w:t>3.2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Nitrogênio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3E0304D2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2B1D7744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24752B18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777728DD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14DCC29C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42297B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6E2408E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41A446B5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1678C1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6C7708A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D94D461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7A1A129E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63973CE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751C8ECF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39F8765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6F258345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5492AF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7301169F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BCDBF03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3AB91DDD" w14:textId="77777777" w:rsidTr="00043334">
        <w:trPr>
          <w:trHeight w:val="318"/>
        </w:trPr>
        <w:tc>
          <w:tcPr>
            <w:tcW w:w="4039" w:type="dxa"/>
            <w:vAlign w:val="center"/>
          </w:tcPr>
          <w:p w14:paraId="0D29DC3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6EE0A223" w14:textId="4EE8F06F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14.2.4</w:t>
            </w:r>
          </w:p>
        </w:tc>
      </w:tr>
    </w:tbl>
    <w:p w14:paraId="0067085C" w14:textId="77777777" w:rsid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16C16745" w14:textId="1914DE4A" w:rsidR="004F34C4" w:rsidRPr="004F34C4" w:rsidRDefault="004F34C4" w:rsidP="004F34C4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</w:t>
      </w:r>
      <w:r w:rsidR="0051009B"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.</w:t>
      </w:r>
      <w:r w:rsidR="0051009B"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CO</w:t>
      </w:r>
      <w:r w:rsidRPr="004F34C4">
        <w:rPr>
          <w:rFonts w:ascii="Arial" w:hAnsi="Arial" w:cs="Arial"/>
          <w:b/>
          <w:bCs/>
          <w:color w:val="4F81BD" w:themeColor="accent1"/>
          <w:vertAlign w:val="subscript"/>
          <w:lang w:val="pt-BR"/>
        </w:rPr>
        <w:t>2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4F34C4" w14:paraId="5EAF02CE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14A3765F" w14:textId="77777777" w:rsidR="004F34C4" w:rsidRPr="0068039B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5E00C5BE" w14:textId="77777777" w:rsid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4F34C4" w14:paraId="1E6B7443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7B0B918B" w14:textId="77777777" w:rsidR="004F34C4" w:rsidRPr="0068039B" w:rsidRDefault="004F34C4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5DB733E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4EE0BACF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4F34C4" w:rsidRPr="004F34C4" w14:paraId="63CACAB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B57F8BF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lastRenderedPageBreak/>
              <w:t>Especificação</w:t>
            </w:r>
          </w:p>
        </w:tc>
        <w:tc>
          <w:tcPr>
            <w:tcW w:w="2835" w:type="dxa"/>
            <w:vAlign w:val="center"/>
          </w:tcPr>
          <w:p w14:paraId="18EE7907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FA5B985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5111E505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5D0303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4ED778DD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B4494E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44FD9CA4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68BCF01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2C911934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580B070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4F34C4" w:rsidRPr="004F34C4" w14:paraId="201DDB9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06F2541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52F51B1C" w14:textId="77777777" w:rsidR="004F34C4" w:rsidRPr="004F34C4" w:rsidRDefault="004F34C4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14.2.4</w:t>
            </w:r>
          </w:p>
        </w:tc>
      </w:tr>
    </w:tbl>
    <w:p w14:paraId="536B8B94" w14:textId="77777777" w:rsid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1E55226A" w14:textId="5F25A48C" w:rsidR="0051009B" w:rsidRPr="004F34C4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</w:t>
      </w:r>
      <w:r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.</w:t>
      </w:r>
      <w:r>
        <w:rPr>
          <w:rFonts w:ascii="Arial" w:hAnsi="Arial" w:cs="Arial"/>
          <w:b/>
          <w:bCs/>
          <w:color w:val="4F81BD" w:themeColor="accent1"/>
          <w:lang w:val="pt-BR"/>
        </w:rPr>
        <w:t>4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O</w:t>
      </w:r>
      <w:r w:rsidRPr="004F34C4">
        <w:rPr>
          <w:rFonts w:ascii="Arial" w:hAnsi="Arial" w:cs="Arial"/>
          <w:b/>
          <w:bCs/>
          <w:color w:val="4F81BD" w:themeColor="accent1"/>
          <w:vertAlign w:val="subscript"/>
          <w:lang w:val="pt-BR"/>
        </w:rPr>
        <w:t>2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51009B" w14:paraId="42C663F8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4315F54E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3C707F0A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2CA182D3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4FF609EB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CE75AA2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428CBFA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4F34C4" w14:paraId="344C9CA2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B24969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55B30D8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11BD87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31462C2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A21C44C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7C748274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CBD9D3F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3EF52C97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C191C86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1A6835A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ADEC34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75D7A1A2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EBC7B7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7FDA540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14.2.4</w:t>
            </w:r>
          </w:p>
        </w:tc>
      </w:tr>
    </w:tbl>
    <w:p w14:paraId="6E5FADF2" w14:textId="77777777" w:rsidR="004F34C4" w:rsidRDefault="004F34C4" w:rsidP="004F34C4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FABE039" w14:textId="52C3FE25" w:rsidR="0051009B" w:rsidRPr="004F34C4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4F34C4">
        <w:rPr>
          <w:rFonts w:ascii="Arial" w:hAnsi="Arial" w:cs="Arial"/>
          <w:b/>
          <w:bCs/>
          <w:color w:val="4F81BD" w:themeColor="accent1"/>
          <w:lang w:val="pt-BR"/>
        </w:rPr>
        <w:t>5.</w:t>
      </w:r>
      <w:r>
        <w:rPr>
          <w:rFonts w:ascii="Arial" w:hAnsi="Arial" w:cs="Arial"/>
          <w:b/>
          <w:bCs/>
          <w:color w:val="4F81BD" w:themeColor="accent1"/>
          <w:lang w:val="pt-BR"/>
        </w:rPr>
        <w:t>3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>.</w:t>
      </w:r>
      <w:r>
        <w:rPr>
          <w:rFonts w:ascii="Arial" w:hAnsi="Arial" w:cs="Arial"/>
          <w:b/>
          <w:bCs/>
          <w:color w:val="4F81BD" w:themeColor="accent1"/>
          <w:lang w:val="pt-BR"/>
        </w:rPr>
        <w:t>5</w:t>
      </w:r>
      <w:r w:rsidRPr="004F34C4">
        <w:rPr>
          <w:rFonts w:ascii="Arial" w:hAnsi="Arial" w:cs="Arial"/>
          <w:b/>
          <w:bCs/>
          <w:color w:val="4F81BD" w:themeColor="accent1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lang w:val="pt-BR"/>
        </w:rPr>
        <w:t>Outros gases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8"/>
        <w:gridCol w:w="2750"/>
        <w:gridCol w:w="1904"/>
      </w:tblGrid>
      <w:tr w:rsidR="0051009B" w14:paraId="558F64E0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6FC5B841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0F3A95BE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268A6F32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791DD0D2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7E0F444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5C077E7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4F34C4" w14:paraId="11ACD5C2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7D8A93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</w:t>
            </w:r>
          </w:p>
        </w:tc>
        <w:tc>
          <w:tcPr>
            <w:tcW w:w="2835" w:type="dxa"/>
            <w:vAlign w:val="center"/>
          </w:tcPr>
          <w:p w14:paraId="3DE01A24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957A04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B834D56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E9120A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Preparação</w:t>
            </w:r>
          </w:p>
        </w:tc>
        <w:tc>
          <w:tcPr>
            <w:tcW w:w="2835" w:type="dxa"/>
            <w:vAlign w:val="center"/>
          </w:tcPr>
          <w:p w14:paraId="109EBB2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47F87A3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63B8EDE1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73A9CE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Distribuição</w:t>
            </w:r>
          </w:p>
        </w:tc>
        <w:tc>
          <w:tcPr>
            <w:tcW w:w="2835" w:type="dxa"/>
            <w:vAlign w:val="center"/>
          </w:tcPr>
          <w:p w14:paraId="3EA240C1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19B091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6E2CAC65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88ABCDC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</w:t>
            </w:r>
          </w:p>
        </w:tc>
        <w:tc>
          <w:tcPr>
            <w:tcW w:w="4779" w:type="dxa"/>
            <w:gridSpan w:val="2"/>
            <w:vAlign w:val="center"/>
          </w:tcPr>
          <w:p w14:paraId="0D7C21E3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Referência a seção 14.2.4</w:t>
            </w:r>
          </w:p>
        </w:tc>
      </w:tr>
    </w:tbl>
    <w:p w14:paraId="6A83D709" w14:textId="77777777" w:rsid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153AE2DD" w14:textId="5F556801" w:rsidR="0051009B" w:rsidRP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6. Controles de Matérias-Primas – incluindo controles em processo</w:t>
      </w:r>
    </w:p>
    <w:p w14:paraId="0F1DF32F" w14:textId="77777777" w:rsidR="0051009B" w:rsidRPr="0051009B" w:rsidRDefault="0051009B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Aspectos relevantes</w:t>
      </w:r>
    </w:p>
    <w:p w14:paraId="75F12C23" w14:textId="77777777" w:rsidR="0051009B" w:rsidRPr="0051009B" w:rsidRDefault="0051009B" w:rsidP="0051009B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como as matérias-primas são amostradas e testadas</w:t>
      </w:r>
    </w:p>
    <w:p w14:paraId="40372D5B" w14:textId="77777777" w:rsidR="0051009B" w:rsidRPr="0051009B" w:rsidRDefault="0051009B" w:rsidP="0051009B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os requisitos microbiológicos e os limites de endotoxinas fazem parte da especificação</w:t>
      </w:r>
    </w:p>
    <w:p w14:paraId="1FD3DDFE" w14:textId="5E3F3B90" w:rsidR="0051009B" w:rsidRPr="0051009B" w:rsidRDefault="0051009B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1DF81C43" w14:textId="77777777" w:rsid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6.1. Controles de Matérias-Primas (Material de Partida)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41"/>
        <w:gridCol w:w="2748"/>
        <w:gridCol w:w="1903"/>
      </w:tblGrid>
      <w:tr w:rsidR="0051009B" w14:paraId="35F4763C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2C1B8509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36CB7280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7DF547C8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7E68BE8D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363108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5A7CB9EB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F80960" w14:paraId="100A6F6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5CFB493" w14:textId="0506503A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As especificações de teste para cada matéria-prima são preparadas e aprovadas; as especificações seguem a Autorização de Comercialização.</w:t>
            </w:r>
          </w:p>
        </w:tc>
        <w:tc>
          <w:tcPr>
            <w:tcW w:w="2835" w:type="dxa"/>
            <w:vAlign w:val="center"/>
          </w:tcPr>
          <w:p w14:paraId="4C4F3B0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6993EC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0605F62B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B616A3B" w14:textId="1B0886BC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lastRenderedPageBreak/>
              <w:t>Teste de recebimento de materiais.</w:t>
            </w:r>
          </w:p>
        </w:tc>
        <w:tc>
          <w:tcPr>
            <w:tcW w:w="2835" w:type="dxa"/>
            <w:vAlign w:val="center"/>
          </w:tcPr>
          <w:p w14:paraId="63355E21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1690C3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4BCF8569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DC189D8" w14:textId="096541FC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Amostragem</w:t>
            </w:r>
          </w:p>
        </w:tc>
        <w:tc>
          <w:tcPr>
            <w:tcW w:w="2835" w:type="dxa"/>
            <w:vAlign w:val="center"/>
          </w:tcPr>
          <w:p w14:paraId="74D1DC1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1F62AA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469C7E81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4E59BED" w14:textId="3C96CB52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Testes de Controle de Qualidade (QC)</w:t>
            </w:r>
          </w:p>
        </w:tc>
        <w:tc>
          <w:tcPr>
            <w:tcW w:w="2835" w:type="dxa"/>
            <w:vAlign w:val="center"/>
          </w:tcPr>
          <w:p w14:paraId="779B780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258E02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0D581CD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897436D" w14:textId="6F0C41A6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Procedimento de liberação de matéria-prima</w:t>
            </w:r>
          </w:p>
        </w:tc>
        <w:tc>
          <w:tcPr>
            <w:tcW w:w="2835" w:type="dxa"/>
            <w:vAlign w:val="center"/>
          </w:tcPr>
          <w:p w14:paraId="1E0289F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273BE4B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58D2F272" w14:textId="77777777" w:rsidR="0051009B" w:rsidRDefault="0051009B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4A59CEC" w14:textId="31088246" w:rsid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6.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</w:t>
      </w: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. Controle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s em Processo</w:t>
      </w:r>
    </w:p>
    <w:p w14:paraId="479B53F3" w14:textId="77777777" w:rsidR="0051009B" w:rsidRPr="0051009B" w:rsidRDefault="0051009B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</w:t>
      </w:r>
    </w:p>
    <w:p w14:paraId="2CF075C2" w14:textId="77777777" w:rsidR="0051009B" w:rsidRPr="0051009B" w:rsidRDefault="0051009B" w:rsidP="0051009B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As etapas em que são realizados os testes IPC relacionados ao controle de contaminação.</w:t>
      </w:r>
    </w:p>
    <w:p w14:paraId="1FE25D35" w14:textId="77777777" w:rsidR="0051009B" w:rsidRDefault="0051009B" w:rsidP="0051009B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Os limites.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29"/>
        <w:gridCol w:w="2756"/>
        <w:gridCol w:w="1907"/>
      </w:tblGrid>
      <w:tr w:rsidR="0051009B" w14:paraId="5C74266E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3FE98C9A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7DC3D29F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2293F6CB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6EF32FC9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27D2C7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171F307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F80960" w14:paraId="268B27FC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16F89E3" w14:textId="3C7F2DE6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Etapas nas quais os testes IPC são realizados</w:t>
            </w:r>
          </w:p>
        </w:tc>
        <w:tc>
          <w:tcPr>
            <w:tcW w:w="2835" w:type="dxa"/>
            <w:vAlign w:val="center"/>
          </w:tcPr>
          <w:p w14:paraId="4F098F86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CD3DB26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4A933216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389A698" w14:textId="366EB2F2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Limites de biocarga para as respectivas etapas</w:t>
            </w:r>
          </w:p>
        </w:tc>
        <w:tc>
          <w:tcPr>
            <w:tcW w:w="2835" w:type="dxa"/>
            <w:vAlign w:val="center"/>
          </w:tcPr>
          <w:p w14:paraId="12C8E9F7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0C46CE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38F68635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BF5511C" w14:textId="5FA42E77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5D354DD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0F8844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0C3CF093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4877BDD" w14:textId="38976EE3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3CA7BA9B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9AEA6A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24AF828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8E5F3F2" w14:textId="2485CFBC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48CC5BC3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2E9214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62064A08" w14:textId="33D9679C" w:rsidR="0051009B" w:rsidRPr="0051009B" w:rsidRDefault="0051009B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652F8DD" w14:textId="77777777" w:rsidR="0051009B" w:rsidRP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7. Recipientes e Sistemas de Fechamento de Produtos</w:t>
      </w:r>
    </w:p>
    <w:p w14:paraId="5821F599" w14:textId="77777777" w:rsidR="0051009B" w:rsidRPr="0051009B" w:rsidRDefault="0051009B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</w:t>
      </w:r>
    </w:p>
    <w:p w14:paraId="29D7DB14" w14:textId="77777777" w:rsidR="0051009B" w:rsidRPr="0051009B" w:rsidRDefault="0051009B" w:rsidP="0051009B">
      <w:pPr>
        <w:numPr>
          <w:ilvl w:val="0"/>
          <w:numId w:val="16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Diferentes produtos, seus recipientes e sistemas de fechamento.</w:t>
      </w:r>
    </w:p>
    <w:p w14:paraId="3F98F65E" w14:textId="77777777" w:rsidR="0051009B" w:rsidRDefault="0051009B" w:rsidP="0051009B">
      <w:pPr>
        <w:numPr>
          <w:ilvl w:val="0"/>
          <w:numId w:val="16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 xml:space="preserve">Testes de </w:t>
      </w: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CCI</w:t>
      </w:r>
      <w:r w:rsidRPr="0051009B">
        <w:rPr>
          <w:rFonts w:ascii="Times New Roman" w:hAnsi="Times New Roman" w:cs="Times New Roman"/>
          <w:color w:val="4F81BD" w:themeColor="accent1"/>
          <w:lang w:val="pt-BR"/>
        </w:rPr>
        <w:t xml:space="preserve"> (Integridade de Fechamento de Recipientes).</w:t>
      </w:r>
    </w:p>
    <w:p w14:paraId="433BDC27" w14:textId="04049A1D" w:rsidR="0051009B" w:rsidRDefault="0051009B" w:rsidP="0051009B">
      <w:pPr>
        <w:numPr>
          <w:ilvl w:val="0"/>
          <w:numId w:val="16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color w:val="4F81BD" w:themeColor="accent1"/>
          <w:lang w:val="pt-BR"/>
        </w:rPr>
        <w:t>Processo rotineiro para testar a integridade do fechamento do recipiente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4"/>
        <w:gridCol w:w="2753"/>
        <w:gridCol w:w="1905"/>
      </w:tblGrid>
      <w:tr w:rsidR="0051009B" w14:paraId="1FBFC4F1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045EDD83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4664AFF9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449D3D88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1AF31118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9E37A64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26DB42C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F80960" w14:paraId="730A2F56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F4E6C90" w14:textId="3442C01C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 do tipo de recipiente</w:t>
            </w:r>
          </w:p>
        </w:tc>
        <w:tc>
          <w:tcPr>
            <w:tcW w:w="2835" w:type="dxa"/>
            <w:vAlign w:val="center"/>
          </w:tcPr>
          <w:p w14:paraId="5EA7A834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0ECAF33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7B26A5D1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8C6E116" w14:textId="46838082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Especificação do tipo de fechamento</w:t>
            </w:r>
          </w:p>
        </w:tc>
        <w:tc>
          <w:tcPr>
            <w:tcW w:w="2835" w:type="dxa"/>
            <w:vAlign w:val="center"/>
          </w:tcPr>
          <w:p w14:paraId="30B60A1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2AE134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39058FFC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4B43C03" w14:textId="2D8DC053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Qualificação do sistema de recipiente</w:t>
            </w:r>
          </w:p>
        </w:tc>
        <w:tc>
          <w:tcPr>
            <w:tcW w:w="2835" w:type="dxa"/>
            <w:vAlign w:val="center"/>
          </w:tcPr>
          <w:p w14:paraId="616F06F2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B6A532B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2F6C029F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57177A9" w14:textId="1A924BB8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Teste de integridade do fechamento do recipiente</w:t>
            </w:r>
          </w:p>
        </w:tc>
        <w:tc>
          <w:tcPr>
            <w:tcW w:w="2835" w:type="dxa"/>
            <w:vAlign w:val="center"/>
          </w:tcPr>
          <w:p w14:paraId="0D086251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5B081B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F80960" w14:paraId="421AA9E7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DAD64C1" w14:textId="40A0AFC0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color w:val="000000" w:themeColor="text1"/>
                <w:lang w:val="pt-BR"/>
              </w:rPr>
              <w:t>Testes de rotina para integridade do fechamento do recipiente</w:t>
            </w:r>
          </w:p>
        </w:tc>
        <w:tc>
          <w:tcPr>
            <w:tcW w:w="2835" w:type="dxa"/>
            <w:vAlign w:val="center"/>
          </w:tcPr>
          <w:p w14:paraId="5FFF158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7E9DEF1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0FF6A684" w14:textId="77777777" w:rsidR="0051009B" w:rsidRPr="0051009B" w:rsidRDefault="0051009B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34FD6320" w14:textId="77777777" w:rsidR="0051009B" w:rsidRP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lastRenderedPageBreak/>
        <w:t>8. Aprovação de Fornecedores – incluindo fornecedores de componentes-chave, esterilização de componentes e sistemas de uso único (SUS), e serviços</w:t>
      </w:r>
    </w:p>
    <w:p w14:paraId="77D0A4B4" w14:textId="77777777" w:rsidR="0051009B" w:rsidRP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8.1. Processos Gerais</w:t>
      </w:r>
    </w:p>
    <w:p w14:paraId="1A4B84AE" w14:textId="77777777" w:rsidR="0051009B" w:rsidRPr="0051009B" w:rsidRDefault="0051009B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relevantes:</w:t>
      </w:r>
    </w:p>
    <w:p w14:paraId="5E2DC147" w14:textId="77777777" w:rsidR="0051009B" w:rsidRPr="0051009B" w:rsidRDefault="0051009B" w:rsidP="0051009B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POP para qualificação de fornecedores</w:t>
      </w:r>
      <w:r w:rsidRPr="0051009B">
        <w:rPr>
          <w:rFonts w:ascii="Times New Roman" w:hAnsi="Times New Roman" w:cs="Times New Roman"/>
          <w:color w:val="4F81BD" w:themeColor="accent1"/>
          <w:lang w:val="pt-BR"/>
        </w:rPr>
        <w:t xml:space="preserve"> (presumivelmente o mesmo POP usado para qualificação de suprimentos, que é abordado na Seção 9) — considerar combinar as Seções 8 e 9 ou criar referências cruzadas.</w:t>
      </w:r>
    </w:p>
    <w:p w14:paraId="1C5CB83B" w14:textId="77777777" w:rsidR="0051009B" w:rsidRPr="0051009B" w:rsidRDefault="0051009B" w:rsidP="0051009B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Avaliação / auditoria rotineira de fornecedores.</w:t>
      </w:r>
    </w:p>
    <w:p w14:paraId="2C147771" w14:textId="77777777" w:rsidR="0051009B" w:rsidRPr="0051009B" w:rsidRDefault="0051009B" w:rsidP="0051009B">
      <w:pPr>
        <w:numPr>
          <w:ilvl w:val="0"/>
          <w:numId w:val="17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1009B">
        <w:rPr>
          <w:rFonts w:ascii="Times New Roman" w:hAnsi="Times New Roman" w:cs="Times New Roman"/>
          <w:b/>
          <w:bCs/>
          <w:color w:val="4F81BD" w:themeColor="accent1"/>
          <w:lang w:val="pt-BR"/>
        </w:rPr>
        <w:t>Listar fornecedores críticos</w:t>
      </w:r>
      <w:r w:rsidRPr="0051009B">
        <w:rPr>
          <w:rFonts w:ascii="Times New Roman" w:hAnsi="Times New Roman" w:cs="Times New Roman"/>
          <w:color w:val="4F81BD" w:themeColor="accent1"/>
          <w:lang w:val="pt-BR"/>
        </w:rPr>
        <w:t>, como componentes primários de embalagem ou matéria-prima, itens críticos de consumo ou sistemas de uso único (SUS).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5"/>
        <w:gridCol w:w="2752"/>
        <w:gridCol w:w="1905"/>
      </w:tblGrid>
      <w:tr w:rsidR="0051009B" w14:paraId="2C6BA265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2197B608" w14:textId="77777777" w:rsidR="0051009B" w:rsidRPr="006803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542F0F52" w14:textId="77777777" w:rsid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14:paraId="7B092411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3841BBDB" w14:textId="77777777" w:rsidR="0051009B" w:rsidRPr="0068039B" w:rsidRDefault="0051009B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CD09F1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7A752493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51009B" w:rsidRPr="00F80960" w14:paraId="6104AFF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28B9AC5E" w14:textId="6FC164C5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Arial" w:hAnsi="Arial" w:cs="Arial"/>
                <w:color w:val="4F81BD" w:themeColor="accent1"/>
                <w:lang w:val="pt-BR"/>
              </w:rPr>
              <w:t>Processo de qualificação de fornecedores / prestadores</w:t>
            </w:r>
          </w:p>
        </w:tc>
        <w:tc>
          <w:tcPr>
            <w:tcW w:w="2835" w:type="dxa"/>
            <w:vAlign w:val="center"/>
          </w:tcPr>
          <w:p w14:paraId="7616664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45F2469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254AC6F4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BDFEFE0" w14:textId="7941E82C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Arial" w:hAnsi="Arial" w:cs="Arial"/>
                <w:color w:val="4F81BD" w:themeColor="accent1"/>
                <w:lang w:val="pt-BR"/>
              </w:rPr>
              <w:t>Avaliação de fornecedores / prestadores</w:t>
            </w:r>
          </w:p>
        </w:tc>
        <w:tc>
          <w:tcPr>
            <w:tcW w:w="2835" w:type="dxa"/>
            <w:vAlign w:val="center"/>
          </w:tcPr>
          <w:p w14:paraId="290226FD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29E7DB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B0A1BB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0BF4BD1" w14:textId="0625F1A8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51009B">
              <w:rPr>
                <w:rFonts w:ascii="Arial" w:hAnsi="Arial" w:cs="Arial"/>
                <w:color w:val="4F81BD" w:themeColor="accent1"/>
                <w:lang w:val="pt-BR"/>
              </w:rPr>
              <w:t>Auditoria de fornecedores / prestadores</w:t>
            </w:r>
          </w:p>
        </w:tc>
        <w:tc>
          <w:tcPr>
            <w:tcW w:w="2835" w:type="dxa"/>
            <w:vAlign w:val="center"/>
          </w:tcPr>
          <w:p w14:paraId="05CC6E37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EACECE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91A1C5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DD6DAC1" w14:textId="612269C1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669307AF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19AC23B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AD3626B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9BEE7D7" w14:textId="003FF333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835" w:type="dxa"/>
            <w:vAlign w:val="center"/>
          </w:tcPr>
          <w:p w14:paraId="4BD0E498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7DE6B9E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3F1E8BC6" w14:textId="77777777" w:rsid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385AC0EA" w14:textId="78B47CA4" w:rsidR="0051009B" w:rsidRPr="0051009B" w:rsidRDefault="0051009B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1009B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8.2. Informações detalhadas sobre os fornecedores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970"/>
        <w:gridCol w:w="3709"/>
        <w:gridCol w:w="1913"/>
      </w:tblGrid>
      <w:tr w:rsidR="0051009B" w14:paraId="69811B03" w14:textId="77777777" w:rsidTr="0051009B">
        <w:trPr>
          <w:trHeight w:val="318"/>
        </w:trPr>
        <w:tc>
          <w:tcPr>
            <w:tcW w:w="3047" w:type="dxa"/>
            <w:shd w:val="clear" w:color="auto" w:fill="D9D9D9" w:themeFill="background1" w:themeFillShade="D9"/>
            <w:vAlign w:val="center"/>
          </w:tcPr>
          <w:p w14:paraId="73EDFBB1" w14:textId="34483063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51009B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Componente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0BDDBA3A" w14:textId="4AE4BEE6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Fornecedor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543DFF89" w14:textId="212A80A6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51009B" w:rsidRPr="004F34C4" w14:paraId="6ADF6162" w14:textId="77777777" w:rsidTr="0051009B">
        <w:trPr>
          <w:trHeight w:val="318"/>
        </w:trPr>
        <w:tc>
          <w:tcPr>
            <w:tcW w:w="3047" w:type="dxa"/>
            <w:vMerge w:val="restart"/>
            <w:vAlign w:val="center"/>
          </w:tcPr>
          <w:p w14:paraId="18F61FAE" w14:textId="2EB152E5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52A04AB" w14:textId="34BB8EFA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2801DF47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051519FB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16A7EE75" w14:textId="63C5D915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4373A9BD" w14:textId="09385F1F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47438A15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5B37C8C4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15925733" w14:textId="3825D5D1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2A280F07" w14:textId="62BBCF0D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5DD54EAA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B004D1D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061DEE75" w14:textId="77777777" w:rsidR="0051009B" w:rsidRPr="0051009B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4551BD85" w14:textId="582A5572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6BE067F0" w14:textId="77777777" w:rsidR="0051009B" w:rsidRPr="004F34C4" w:rsidRDefault="0051009B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75A8F99C" w14:textId="77777777" w:rsidTr="0051009B">
        <w:trPr>
          <w:trHeight w:val="318"/>
        </w:trPr>
        <w:tc>
          <w:tcPr>
            <w:tcW w:w="3047" w:type="dxa"/>
            <w:vMerge w:val="restart"/>
            <w:vAlign w:val="center"/>
          </w:tcPr>
          <w:p w14:paraId="36C196FC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BCA08E1" w14:textId="2B362960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50C37694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4843FD26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1FA5F053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C015BF2" w14:textId="73536C40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1B312ACF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724DD1A3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30B386DC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7249841B" w14:textId="2E703E2C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095DE604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19A275A2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0D0AA35A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6C296512" w14:textId="08879987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0B175848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23CC4F2E" w14:textId="77777777" w:rsidTr="0051009B">
        <w:trPr>
          <w:trHeight w:val="318"/>
        </w:trPr>
        <w:tc>
          <w:tcPr>
            <w:tcW w:w="3047" w:type="dxa"/>
            <w:vMerge w:val="restart"/>
            <w:vAlign w:val="center"/>
          </w:tcPr>
          <w:p w14:paraId="7D41D3FA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616E2510" w14:textId="25561C9B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5990D1C5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22E20A55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50857164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2A5BF274" w14:textId="54B32CCE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24711FEA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5DACC455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7797A0FC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0F07DD02" w14:textId="47F4E5FE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3BB65A23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51009B" w:rsidRPr="004F34C4" w14:paraId="59DD7682" w14:textId="77777777" w:rsidTr="0051009B">
        <w:trPr>
          <w:trHeight w:val="318"/>
        </w:trPr>
        <w:tc>
          <w:tcPr>
            <w:tcW w:w="3047" w:type="dxa"/>
            <w:vMerge/>
            <w:vAlign w:val="center"/>
          </w:tcPr>
          <w:p w14:paraId="3C70113B" w14:textId="77777777" w:rsidR="0051009B" w:rsidRP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251E34B" w14:textId="2018408E" w:rsidR="0051009B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0A898C71" w14:textId="77777777" w:rsidR="0051009B" w:rsidRPr="004F34C4" w:rsidRDefault="0051009B" w:rsidP="005100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2AC7AA6E" w14:textId="77777777" w:rsidR="0051009B" w:rsidRDefault="0051009B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4B7F6B10" w14:textId="769BAB0E" w:rsidR="00D35AA8" w:rsidRP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D35AA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9.Para serviços terceirizados, como esterilização, devem ser fornecidas evidências suficientes ao contratante para garantir que o processo esteja operando corretamente.</w:t>
      </w:r>
    </w:p>
    <w:p w14:paraId="723B22C5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Nota: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 Esta seção é bastante semelhante à seção 8.</w:t>
      </w:r>
    </w:p>
    <w:p w14:paraId="61B1D73A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>Forneça detalhes ou faça referência ao SMF (Site Master File) da atividade terceirizada, como testes microbiológicos ou testes de liberação realizados por um laboratório externo.</w:t>
      </w:r>
    </w:p>
    <w:p w14:paraId="7E9AA90E" w14:textId="77777777" w:rsidR="00D35AA8" w:rsidRP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D35AA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9.1. Processos gerais</w:t>
      </w:r>
    </w:p>
    <w:p w14:paraId="0E5467E3" w14:textId="77777777" w:rsidR="00D35AA8" w:rsidRPr="00D35AA8" w:rsidRDefault="00D35AA8" w:rsidP="00D35AA8">
      <w:pPr>
        <w:jc w:val="both"/>
        <w:rPr>
          <w:rFonts w:ascii="Arial" w:hAnsi="Arial" w:cs="Arial"/>
          <w:color w:val="000000" w:themeColor="text1"/>
          <w:lang w:val="pt-BR"/>
        </w:rPr>
      </w:pPr>
      <w:r w:rsidRPr="00D35AA8">
        <w:rPr>
          <w:rFonts w:ascii="Arial" w:hAnsi="Arial" w:cs="Arial"/>
          <w:color w:val="000000" w:themeColor="text1"/>
          <w:lang w:val="pt-BR"/>
        </w:rPr>
        <w:t>Consulte a Seção 8.1.</w:t>
      </w:r>
    </w:p>
    <w:p w14:paraId="57223539" w14:textId="77777777" w:rsidR="00D35AA8" w:rsidRP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D35AA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9.2. Informações detalhadas sobre fornecedores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956"/>
        <w:gridCol w:w="3720"/>
        <w:gridCol w:w="1916"/>
      </w:tblGrid>
      <w:tr w:rsidR="00D35AA8" w14:paraId="32A7E80F" w14:textId="77777777" w:rsidTr="000E5F33">
        <w:trPr>
          <w:trHeight w:val="318"/>
        </w:trPr>
        <w:tc>
          <w:tcPr>
            <w:tcW w:w="3047" w:type="dxa"/>
            <w:shd w:val="clear" w:color="auto" w:fill="D9D9D9" w:themeFill="background1" w:themeFillShade="D9"/>
            <w:vAlign w:val="center"/>
          </w:tcPr>
          <w:p w14:paraId="2F84CE2E" w14:textId="0E8E5573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Serviço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4E68318" w14:textId="2AACA206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 xml:space="preserve">Contrato 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6A3FF506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D35AA8" w:rsidRPr="004F34C4" w14:paraId="126DF5D9" w14:textId="77777777" w:rsidTr="000E5F33">
        <w:trPr>
          <w:trHeight w:val="318"/>
        </w:trPr>
        <w:tc>
          <w:tcPr>
            <w:tcW w:w="3047" w:type="dxa"/>
            <w:vMerge w:val="restart"/>
            <w:vAlign w:val="center"/>
          </w:tcPr>
          <w:p w14:paraId="6E7E4B1B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7E144BD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6BAE227D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39EDBA9F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1F7D309E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20BEEC60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577EE39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5F50A68C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701D4A63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2EBBB5FF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7241BF31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5A2D562F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34122A7E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7F4F140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4AD7F70C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2EC2F804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0ED6313E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4A2BCC46" w14:textId="7A5EDE80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Validação de Processo</w:t>
            </w:r>
          </w:p>
        </w:tc>
        <w:tc>
          <w:tcPr>
            <w:tcW w:w="1944" w:type="dxa"/>
          </w:tcPr>
          <w:p w14:paraId="0D486E7A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3B008318" w14:textId="77777777" w:rsidTr="000E5F33">
        <w:trPr>
          <w:trHeight w:val="318"/>
        </w:trPr>
        <w:tc>
          <w:tcPr>
            <w:tcW w:w="3047" w:type="dxa"/>
            <w:vMerge w:val="restart"/>
            <w:vAlign w:val="center"/>
          </w:tcPr>
          <w:p w14:paraId="18502636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55D6B6FD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2936EBCB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68FAF937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1DB1F9FA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4FCF9F85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6B2797E4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6C4756DF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7F37A8B0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154F75DB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2469073C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0ACDBFBC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07DC8D32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33216519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233030D2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351AD17C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6BCC0684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0D22E36D" w14:textId="5D0E4ED2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Validação de Processo</w:t>
            </w:r>
          </w:p>
        </w:tc>
        <w:tc>
          <w:tcPr>
            <w:tcW w:w="1944" w:type="dxa"/>
          </w:tcPr>
          <w:p w14:paraId="0E7B8E9D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53F026D5" w14:textId="77777777" w:rsidTr="000E5F33">
        <w:trPr>
          <w:trHeight w:val="318"/>
        </w:trPr>
        <w:tc>
          <w:tcPr>
            <w:tcW w:w="3047" w:type="dxa"/>
            <w:vMerge w:val="restart"/>
            <w:vAlign w:val="center"/>
          </w:tcPr>
          <w:p w14:paraId="124141CD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6C861948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Contrato</w:t>
            </w:r>
          </w:p>
        </w:tc>
        <w:tc>
          <w:tcPr>
            <w:tcW w:w="1944" w:type="dxa"/>
          </w:tcPr>
          <w:p w14:paraId="6F84C7C1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496649DA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3F0E8CA0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2C35A866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Documento de Qualificação</w:t>
            </w:r>
          </w:p>
        </w:tc>
        <w:tc>
          <w:tcPr>
            <w:tcW w:w="1944" w:type="dxa"/>
          </w:tcPr>
          <w:p w14:paraId="218A1577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4C32D782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742BFEF1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56E06015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 de auditoria</w:t>
            </w:r>
          </w:p>
        </w:tc>
        <w:tc>
          <w:tcPr>
            <w:tcW w:w="1944" w:type="dxa"/>
          </w:tcPr>
          <w:p w14:paraId="78D2DB4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207AF4BF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5582705D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081D8D56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Avaliação Anual</w:t>
            </w:r>
          </w:p>
        </w:tc>
        <w:tc>
          <w:tcPr>
            <w:tcW w:w="1944" w:type="dxa"/>
          </w:tcPr>
          <w:p w14:paraId="70C3BEC8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4F34C4" w14:paraId="07C77D28" w14:textId="77777777" w:rsidTr="000E5F33">
        <w:trPr>
          <w:trHeight w:val="318"/>
        </w:trPr>
        <w:tc>
          <w:tcPr>
            <w:tcW w:w="3047" w:type="dxa"/>
            <w:vMerge/>
            <w:vAlign w:val="center"/>
          </w:tcPr>
          <w:p w14:paraId="35282E72" w14:textId="77777777" w:rsidR="00D35AA8" w:rsidRPr="0051009B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3827" w:type="dxa"/>
            <w:vAlign w:val="center"/>
          </w:tcPr>
          <w:p w14:paraId="618A9810" w14:textId="08F2AEA7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Validação de Processo</w:t>
            </w:r>
          </w:p>
        </w:tc>
        <w:tc>
          <w:tcPr>
            <w:tcW w:w="1944" w:type="dxa"/>
          </w:tcPr>
          <w:p w14:paraId="1CF8970D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5D274BF6" w14:textId="77777777" w:rsid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2A5C9D73" w14:textId="46238EBA" w:rsidR="00D35AA8" w:rsidRP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D35AA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10. Avaliação de Risco de Processo</w:t>
      </w:r>
    </w:p>
    <w:p w14:paraId="3E110DD5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O título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“avaliação de risco de processo”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 de certa forma restringe o escopo do requisito geral de basear as decisões no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Gerenciamento de Risco da Qualidade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 – sugere-se ampliar o escopo (mas ainda manter o título para referência clara ao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Anexo 1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>).</w:t>
      </w:r>
    </w:p>
    <w:p w14:paraId="2F4C820A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relevantes:</w:t>
      </w:r>
    </w:p>
    <w:p w14:paraId="2525956C" w14:textId="77777777" w:rsidR="00D35AA8" w:rsidRPr="00D35AA8" w:rsidRDefault="00D35AA8" w:rsidP="00D35AA8">
      <w:pPr>
        <w:numPr>
          <w:ilvl w:val="0"/>
          <w:numId w:val="18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lastRenderedPageBreak/>
        <w:t>Procedimentos operacionais padrão (POPs)</w:t>
      </w:r>
    </w:p>
    <w:p w14:paraId="2DE21745" w14:textId="77777777" w:rsidR="00D35AA8" w:rsidRPr="00D35AA8" w:rsidRDefault="00D35AA8" w:rsidP="00D35AA8">
      <w:pPr>
        <w:numPr>
          <w:ilvl w:val="0"/>
          <w:numId w:val="18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>Registros</w:t>
      </w:r>
    </w:p>
    <w:p w14:paraId="55A36D09" w14:textId="77777777" w:rsidR="00D35AA8" w:rsidRPr="00D35AA8" w:rsidRDefault="00D35AA8" w:rsidP="00D35AA8">
      <w:pPr>
        <w:numPr>
          <w:ilvl w:val="0"/>
          <w:numId w:val="18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Visão geral das avaliações de risco existentes para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fabricação / limpeza / descontaminação / esterilização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41"/>
        <w:gridCol w:w="2748"/>
        <w:gridCol w:w="1903"/>
      </w:tblGrid>
      <w:tr w:rsidR="00D35AA8" w14:paraId="4BD19C23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08976252" w14:textId="77777777" w:rsidR="00D35AA8" w:rsidRPr="0068039B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32A3AA86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D35AA8" w14:paraId="24C619EA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435FD32A" w14:textId="77777777" w:rsidR="00D35AA8" w:rsidRPr="0068039B" w:rsidRDefault="00D35AA8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E34D40A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5BB75F0B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D35AA8" w:rsidRPr="00F80960" w14:paraId="2063D710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EDCF595" w14:textId="4B04D76E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O conceito de GRQ (Gerenciamento de Risco da Qualidade) é implementado em toda a organização (POP)</w:t>
            </w:r>
          </w:p>
        </w:tc>
        <w:tc>
          <w:tcPr>
            <w:tcW w:w="2835" w:type="dxa"/>
            <w:vAlign w:val="center"/>
          </w:tcPr>
          <w:p w14:paraId="5DC62B38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674F83C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572196BE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13E3C4F" w14:textId="76A0B327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Um registro das ARs (Avaliações de Risco) é mantido pela Garantia da Qualidade (QA)</w:t>
            </w:r>
          </w:p>
        </w:tc>
        <w:tc>
          <w:tcPr>
            <w:tcW w:w="2835" w:type="dxa"/>
            <w:vAlign w:val="center"/>
          </w:tcPr>
          <w:p w14:paraId="3B9C5EB8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78EA7F46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7806E473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EA0C9AB" w14:textId="3A0027D4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ARs para processos de fabricação</w:t>
            </w:r>
          </w:p>
        </w:tc>
        <w:tc>
          <w:tcPr>
            <w:tcW w:w="2835" w:type="dxa"/>
            <w:vAlign w:val="center"/>
          </w:tcPr>
          <w:p w14:paraId="39658C5F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07C6FDE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397B13CF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B76FAB3" w14:textId="0A2EA1C1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ARs para processos de fabricação asséptica</w:t>
            </w:r>
          </w:p>
        </w:tc>
        <w:tc>
          <w:tcPr>
            <w:tcW w:w="2835" w:type="dxa"/>
            <w:vAlign w:val="center"/>
          </w:tcPr>
          <w:p w14:paraId="5E7C86A8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A46CEDE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5ED3DBF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1B3BB06" w14:textId="560284C3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ARs para processos de limpeza</w:t>
            </w:r>
          </w:p>
        </w:tc>
        <w:tc>
          <w:tcPr>
            <w:tcW w:w="2835" w:type="dxa"/>
            <w:vAlign w:val="center"/>
          </w:tcPr>
          <w:p w14:paraId="271AB251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6379ECC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36AE1E91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EACC1B7" w14:textId="1C340903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ARs para processos de descontaminação</w:t>
            </w:r>
          </w:p>
        </w:tc>
        <w:tc>
          <w:tcPr>
            <w:tcW w:w="2835" w:type="dxa"/>
            <w:vAlign w:val="center"/>
          </w:tcPr>
          <w:p w14:paraId="249080B2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6A5EE26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676D7E2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B936DAC" w14:textId="5BD3A8A9" w:rsid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ARs para processos de esterilização</w:t>
            </w:r>
          </w:p>
        </w:tc>
        <w:tc>
          <w:tcPr>
            <w:tcW w:w="2835" w:type="dxa"/>
            <w:vAlign w:val="center"/>
          </w:tcPr>
          <w:p w14:paraId="41E33AC0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5519FD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11E23E82" w14:textId="77777777" w:rsidR="00D35AA8" w:rsidRDefault="00D35AA8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717DFFC7" w14:textId="77777777" w:rsidR="00D35AA8" w:rsidRPr="00D35AA8" w:rsidRDefault="00D35AA8" w:rsidP="00D35AA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D35AA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11. Validação de Processo</w:t>
      </w:r>
    </w:p>
    <w:p w14:paraId="09CA579A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D35AA8">
        <w:rPr>
          <w:rFonts w:ascii="Times New Roman" w:hAnsi="Times New Roman" w:cs="Times New Roman"/>
          <w:color w:val="000000" w:themeColor="text1"/>
          <w:lang w:val="pt-BR"/>
        </w:rPr>
        <w:t xml:space="preserve">De acordo com os requisitos de Boas Práticas de Fabricação (GMP), todos os processos de fabricação foram validados e a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revalidação ocorre regularmente / os processos estão sob verificação contínua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. </w:t>
      </w:r>
      <w:r w:rsidRPr="00D35AA8">
        <w:rPr>
          <w:rFonts w:ascii="Times New Roman" w:hAnsi="Times New Roman" w:cs="Times New Roman"/>
          <w:color w:val="000000" w:themeColor="text1"/>
          <w:lang w:val="pt-BR"/>
        </w:rPr>
        <w:t>Os processos são revalidados após mudanças que exigem revalidação.</w:t>
      </w:r>
    </w:p>
    <w:p w14:paraId="328F6E69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D35AA8">
        <w:rPr>
          <w:rFonts w:ascii="Times New Roman" w:hAnsi="Times New Roman" w:cs="Times New Roman"/>
          <w:color w:val="000000" w:themeColor="text1"/>
          <w:lang w:val="pt-BR"/>
        </w:rPr>
        <w:t xml:space="preserve">A Validação de Processo é baseada em uma abordagem de </w:t>
      </w:r>
      <w:r w:rsidRPr="00D35AA8">
        <w:rPr>
          <w:rFonts w:ascii="Times New Roman" w:hAnsi="Times New Roman" w:cs="Times New Roman"/>
          <w:b/>
          <w:bCs/>
          <w:color w:val="000000" w:themeColor="text1"/>
          <w:lang w:val="pt-BR"/>
        </w:rPr>
        <w:t>Gerenciamento de Risco da Qualidade (QRM)</w:t>
      </w:r>
      <w:r w:rsidRPr="00D35AA8">
        <w:rPr>
          <w:rFonts w:ascii="Times New Roman" w:hAnsi="Times New Roman" w:cs="Times New Roman"/>
          <w:color w:val="000000" w:themeColor="text1"/>
          <w:lang w:val="pt-BR"/>
        </w:rPr>
        <w:t xml:space="preserve"> e nas </w:t>
      </w:r>
      <w:r w:rsidRPr="00D35AA8">
        <w:rPr>
          <w:rFonts w:ascii="Times New Roman" w:hAnsi="Times New Roman" w:cs="Times New Roman"/>
          <w:b/>
          <w:bCs/>
          <w:color w:val="000000" w:themeColor="text1"/>
          <w:lang w:val="pt-BR"/>
        </w:rPr>
        <w:t>Avaliações de Risco (ARs)</w:t>
      </w:r>
      <w:r w:rsidRPr="00D35AA8">
        <w:rPr>
          <w:rFonts w:ascii="Times New Roman" w:hAnsi="Times New Roman" w:cs="Times New Roman"/>
          <w:color w:val="000000" w:themeColor="text1"/>
          <w:lang w:val="pt-BR"/>
        </w:rPr>
        <w:t xml:space="preserve"> mencionadas na Seção 10.</w:t>
      </w:r>
    </w:p>
    <w:p w14:paraId="438B8637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Nota: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 xml:space="preserve"> O CCS não se refere à validação geral de limpeza, mas deve concentrar-se em aspectos </w:t>
      </w: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microbiológicos</w:t>
      </w:r>
      <w:r w:rsidRPr="00D35AA8">
        <w:rPr>
          <w:rFonts w:ascii="Times New Roman" w:hAnsi="Times New Roman" w:cs="Times New Roman"/>
          <w:color w:val="4F81BD" w:themeColor="accent1"/>
          <w:lang w:val="pt-BR"/>
        </w:rPr>
        <w:t>.</w:t>
      </w:r>
    </w:p>
    <w:p w14:paraId="5AA8BE2D" w14:textId="77777777" w:rsidR="00D35AA8" w:rsidRPr="00D35AA8" w:rsidRDefault="00D35AA8" w:rsidP="00D35AA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relevantes:</w:t>
      </w:r>
    </w:p>
    <w:p w14:paraId="1694A828" w14:textId="77777777" w:rsidR="00D35AA8" w:rsidRPr="00D35AA8" w:rsidRDefault="00D35AA8" w:rsidP="00D35AA8">
      <w:pPr>
        <w:numPr>
          <w:ilvl w:val="0"/>
          <w:numId w:val="19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>POP de Validação de Processo</w:t>
      </w:r>
    </w:p>
    <w:p w14:paraId="6003B7E8" w14:textId="77777777" w:rsidR="00D35AA8" w:rsidRPr="00D35AA8" w:rsidRDefault="00D35AA8" w:rsidP="00D35AA8">
      <w:pPr>
        <w:numPr>
          <w:ilvl w:val="0"/>
          <w:numId w:val="19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D35AA8">
        <w:rPr>
          <w:rFonts w:ascii="Times New Roman" w:hAnsi="Times New Roman" w:cs="Times New Roman"/>
          <w:color w:val="4F81BD" w:themeColor="accent1"/>
          <w:lang w:val="pt-BR"/>
        </w:rPr>
        <w:t>Relatórios de Validação de Processo (PV-reports)</w:t>
      </w:r>
    </w:p>
    <w:p w14:paraId="1ACDADE1" w14:textId="77777777" w:rsidR="00D35AA8" w:rsidRDefault="00D35AA8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41"/>
        <w:gridCol w:w="2748"/>
        <w:gridCol w:w="1903"/>
      </w:tblGrid>
      <w:tr w:rsidR="00D35AA8" w14:paraId="02B31041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7CED12B7" w14:textId="77777777" w:rsidR="00D35AA8" w:rsidRPr="0068039B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2DF3F2B7" w14:textId="77777777" w:rsidR="00D35AA8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D35AA8" w14:paraId="3EDA2603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2A8342D0" w14:textId="77777777" w:rsidR="00D35AA8" w:rsidRPr="0068039B" w:rsidRDefault="00D35AA8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8A6FE0F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096D3D6D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D35AA8" w:rsidRPr="00F80960" w14:paraId="235562CE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1F10965" w14:textId="391E2FC8" w:rsidR="00D35AA8" w:rsidRP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O conceito de Validação de Processo (VP) está descrito em POP</w:t>
            </w:r>
          </w:p>
        </w:tc>
        <w:tc>
          <w:tcPr>
            <w:tcW w:w="2835" w:type="dxa"/>
            <w:vAlign w:val="center"/>
          </w:tcPr>
          <w:p w14:paraId="27024C66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E399D54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72B2C4EC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DBC30A9" w14:textId="70204808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O conceito de verificação contínua de processo está descrito em POP</w:t>
            </w:r>
          </w:p>
        </w:tc>
        <w:tc>
          <w:tcPr>
            <w:tcW w:w="2835" w:type="dxa"/>
            <w:vAlign w:val="center"/>
          </w:tcPr>
          <w:p w14:paraId="57A3833B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6EE6558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43E01766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F397769" w14:textId="590D1C9E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lastRenderedPageBreak/>
              <w:t>A simulação de processo asséptico é realizada conforme POP</w:t>
            </w: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ab/>
            </w:r>
          </w:p>
        </w:tc>
        <w:tc>
          <w:tcPr>
            <w:tcW w:w="2835" w:type="dxa"/>
            <w:vAlign w:val="center"/>
          </w:tcPr>
          <w:p w14:paraId="6AA6E3B7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1F7AC4E4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3519D77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6EE8338" w14:textId="56EB8ECA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Relatórios de Validação de Processo para processos de fabricação</w:t>
            </w:r>
          </w:p>
        </w:tc>
        <w:tc>
          <w:tcPr>
            <w:tcW w:w="2835" w:type="dxa"/>
            <w:vAlign w:val="center"/>
          </w:tcPr>
          <w:p w14:paraId="072CA2AF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5669D4E9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753321BA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3B6BF4DB" w14:textId="3915BD67" w:rsidR="00D35AA8" w:rsidRPr="00D35AA8" w:rsidRDefault="00D35AA8" w:rsidP="00D35AA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Relatórios de simulação de processo asséptico (relatórios de </w:t>
            </w: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media fill</w:t>
            </w: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)</w:t>
            </w:r>
          </w:p>
        </w:tc>
        <w:tc>
          <w:tcPr>
            <w:tcW w:w="2835" w:type="dxa"/>
            <w:vAlign w:val="center"/>
          </w:tcPr>
          <w:p w14:paraId="379D3C5E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621AE94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30A6D5E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5A1E517" w14:textId="2EB8469F" w:rsidR="00D35AA8" w:rsidRP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Relatórios de Validação de Processo para processos de limpeza</w:t>
            </w:r>
          </w:p>
        </w:tc>
        <w:tc>
          <w:tcPr>
            <w:tcW w:w="2835" w:type="dxa"/>
            <w:vAlign w:val="center"/>
          </w:tcPr>
          <w:p w14:paraId="6EDE7B6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830BBF0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2B8F8D29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B68F875" w14:textId="264E3549" w:rsid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Relatórios de Validação de Processo para processos de </w:t>
            </w: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descontaminação</w:t>
            </w:r>
          </w:p>
        </w:tc>
        <w:tc>
          <w:tcPr>
            <w:tcW w:w="2835" w:type="dxa"/>
            <w:vAlign w:val="center"/>
          </w:tcPr>
          <w:p w14:paraId="55104571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C44EEF1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D35AA8" w:rsidRPr="00F80960" w14:paraId="6B3A1E5E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474052BD" w14:textId="472EBEDD" w:rsidR="00D35AA8" w:rsidRPr="00D35AA8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D35AA8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Relatórios de Validação de Processo para processos de </w:t>
            </w: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esterilização</w:t>
            </w:r>
          </w:p>
        </w:tc>
        <w:tc>
          <w:tcPr>
            <w:tcW w:w="2835" w:type="dxa"/>
            <w:vAlign w:val="center"/>
          </w:tcPr>
          <w:p w14:paraId="09B2F1B5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0EF6673" w14:textId="77777777" w:rsidR="00D35AA8" w:rsidRPr="004F34C4" w:rsidRDefault="00D35AA8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6749AF58" w14:textId="77777777" w:rsid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lang w:val="pt-BR"/>
        </w:rPr>
      </w:pPr>
    </w:p>
    <w:p w14:paraId="35E15FC3" w14:textId="43E946B0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12. Manutenção Preventiva – manter equipamentos, utilidades e instalações (manutenção planejada e não planejada) em um padrão que não adicione risco significativo de contaminação</w:t>
      </w:r>
    </w:p>
    <w:p w14:paraId="2223924F" w14:textId="77777777" w:rsidR="00B17612" w:rsidRPr="00B17612" w:rsidRDefault="00B17612" w:rsidP="00B17612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 – presumivelmente cobertos em POP(s):</w:t>
      </w:r>
    </w:p>
    <w:p w14:paraId="49B0ABB4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Maneira de definir os requisitos de manutenção (por exemplo, envolvimento do fornecedor, experiência interna, envolvimento de empresas externas)</w:t>
      </w:r>
    </w:p>
    <w:p w14:paraId="19B7EB6A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Envolvimento da Garantia da Qualidade (QA)</w:t>
      </w:r>
    </w:p>
    <w:p w14:paraId="3FCEFEE0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Como os planos de manutenção são desenvolvidos (serviço / inspeção / ações de substituição e para o sistema) – as anotações em livros de registro são consideradas?</w:t>
      </w:r>
    </w:p>
    <w:p w14:paraId="0314A827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Base para o desenvolvimento do programa de manutenção (frequência de execução das ações de manutenção)</w:t>
      </w:r>
    </w:p>
    <w:p w14:paraId="4A838C4D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Calibração</w:t>
      </w:r>
    </w:p>
    <w:p w14:paraId="33AA3F4A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Responsabilidade pela aprovação do sistema após a manutenção</w:t>
      </w:r>
    </w:p>
    <w:p w14:paraId="254AD825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Referência ao documento que lista as atividades de manutenção planejadas para garantir que os sistemas, o plano e os equipamentos estejam operacionais para prevenir contaminação</w:t>
      </w:r>
    </w:p>
    <w:p w14:paraId="4352CA40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Referência ao documento existente do programa de manutenção, mencionando todas as avaliações formais e confirmando que o controle de contaminação é adequado</w:t>
      </w:r>
    </w:p>
    <w:p w14:paraId="5A25C5AD" w14:textId="77777777" w:rsidR="00B17612" w:rsidRPr="00B17612" w:rsidRDefault="00B17612" w:rsidP="00B17612">
      <w:pPr>
        <w:numPr>
          <w:ilvl w:val="0"/>
          <w:numId w:val="20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Descrever o procedimento quando o cronograma de manutenção recorrente ou crítica for excedido e como o impacto na qualidade do produto é investigado</w:t>
      </w:r>
    </w:p>
    <w:p w14:paraId="72FBD330" w14:textId="77777777" w:rsid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</w:p>
    <w:p w14:paraId="5215AC9B" w14:textId="6F7EEA9F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13. Limpeza e Desinfecção (Descontaminação e Esterilização)</w:t>
      </w:r>
    </w:p>
    <w:p w14:paraId="248B9DB6" w14:textId="77777777" w:rsidR="00B17612" w:rsidRDefault="00B17612" w:rsidP="00B17612">
      <w:pPr>
        <w:pStyle w:val="NormalWeb"/>
      </w:pPr>
      <w:r>
        <w:lastRenderedPageBreak/>
        <w:t xml:space="preserve">Procedimentos estão estabelecidos para </w:t>
      </w:r>
      <w:r>
        <w:rPr>
          <w:rStyle w:val="Forte"/>
        </w:rPr>
        <w:t>limpeza e desinfecção</w:t>
      </w:r>
      <w:r>
        <w:t xml:space="preserve">, </w:t>
      </w:r>
      <w:r w:rsidRPr="00B17612">
        <w:rPr>
          <w:rStyle w:val="Forte"/>
          <w:color w:val="4F81BD" w:themeColor="accent1"/>
        </w:rPr>
        <w:t>descontaminação</w:t>
      </w:r>
      <w:r w:rsidRPr="00B17612">
        <w:rPr>
          <w:color w:val="4F81BD" w:themeColor="accent1"/>
        </w:rPr>
        <w:t xml:space="preserve"> e </w:t>
      </w:r>
      <w:r w:rsidRPr="00B17612">
        <w:rPr>
          <w:rStyle w:val="Forte"/>
          <w:color w:val="4F81BD" w:themeColor="accent1"/>
        </w:rPr>
        <w:t>esterilização</w:t>
      </w:r>
      <w:r w:rsidRPr="00B17612">
        <w:rPr>
          <w:color w:val="4F81BD" w:themeColor="accent1"/>
        </w:rPr>
        <w:t>.</w:t>
      </w:r>
    </w:p>
    <w:p w14:paraId="1B2E1C12" w14:textId="77777777" w:rsidR="00B17612" w:rsidRPr="00B17612" w:rsidRDefault="00B17612" w:rsidP="00B17612">
      <w:pPr>
        <w:pStyle w:val="NormalWeb"/>
        <w:rPr>
          <w:color w:val="4F81BD" w:themeColor="accent1"/>
        </w:rPr>
      </w:pPr>
      <w:r w:rsidRPr="00B17612">
        <w:rPr>
          <w:rStyle w:val="Forte"/>
          <w:color w:val="4F81BD" w:themeColor="accent1"/>
        </w:rPr>
        <w:t>Nota:</w:t>
      </w:r>
      <w:r w:rsidRPr="00B17612">
        <w:rPr>
          <w:color w:val="4F81BD" w:themeColor="accent1"/>
        </w:rPr>
        <w:t xml:space="preserve"> “Descontaminação e esterilização” não são mencionadas na enumeração do </w:t>
      </w:r>
      <w:r w:rsidRPr="00B17612">
        <w:rPr>
          <w:rStyle w:val="Forte"/>
          <w:color w:val="4F81BD" w:themeColor="accent1"/>
        </w:rPr>
        <w:t>Anexo 1</w:t>
      </w:r>
      <w:r w:rsidRPr="00B17612">
        <w:rPr>
          <w:color w:val="4F81BD" w:themeColor="accent1"/>
        </w:rPr>
        <w:t>; entretanto, parece viável abordar esses aspectos importantes nesta seção.</w:t>
      </w:r>
    </w:p>
    <w:p w14:paraId="52F7A6EB" w14:textId="77777777" w:rsidR="00B17612" w:rsidRPr="00B17612" w:rsidRDefault="00B17612" w:rsidP="00B17612">
      <w:pPr>
        <w:pStyle w:val="NormalWeb"/>
        <w:rPr>
          <w:color w:val="4F81BD" w:themeColor="accent1"/>
        </w:rPr>
      </w:pPr>
      <w:r w:rsidRPr="00B17612">
        <w:rPr>
          <w:color w:val="4F81BD" w:themeColor="accent1"/>
        </w:rPr>
        <w:t xml:space="preserve">Liste os procedimentos e faça referência aos números dos </w:t>
      </w:r>
      <w:r w:rsidRPr="00B17612">
        <w:rPr>
          <w:rStyle w:val="Forte"/>
          <w:color w:val="4F81BD" w:themeColor="accent1"/>
        </w:rPr>
        <w:t>POPs</w:t>
      </w:r>
      <w:r w:rsidRPr="00B17612">
        <w:rPr>
          <w:color w:val="4F81BD" w:themeColor="accent1"/>
        </w:rPr>
        <w:t xml:space="preserve"> e — quando aplicável — aos </w:t>
      </w:r>
      <w:r w:rsidRPr="00B17612">
        <w:rPr>
          <w:rStyle w:val="Forte"/>
          <w:color w:val="4F81BD" w:themeColor="accent1"/>
        </w:rPr>
        <w:t>relatórios de validação</w:t>
      </w:r>
      <w:r w:rsidRPr="00B17612">
        <w:rPr>
          <w:color w:val="4F81BD" w:themeColor="accent1"/>
        </w:rPr>
        <w:t xml:space="preserve"> (as referências cruzadas com a Seção 0 devem ser consideradas).</w:t>
      </w:r>
    </w:p>
    <w:p w14:paraId="01CB710C" w14:textId="77777777" w:rsidR="00B17612" w:rsidRPr="00B17612" w:rsidRDefault="00B17612" w:rsidP="00B17612">
      <w:pPr>
        <w:pStyle w:val="NormalWeb"/>
        <w:rPr>
          <w:color w:val="4F81BD" w:themeColor="accent1"/>
        </w:rPr>
      </w:pPr>
      <w:r w:rsidRPr="00B17612">
        <w:rPr>
          <w:color w:val="4F81BD" w:themeColor="accent1"/>
        </w:rPr>
        <w:t xml:space="preserve">Além disso, </w:t>
      </w:r>
      <w:r w:rsidRPr="00B17612">
        <w:rPr>
          <w:rStyle w:val="Forte"/>
          <w:color w:val="4F81BD" w:themeColor="accent1"/>
        </w:rPr>
        <w:t>resuma os tratamentos de controle de contaminação</w:t>
      </w:r>
      <w:r w:rsidRPr="00B17612">
        <w:rPr>
          <w:color w:val="4F81BD" w:themeColor="accent1"/>
        </w:rPr>
        <w:t xml:space="preserve"> para minimizar contaminações de superfícies e de pessoal.</w:t>
      </w:r>
    </w:p>
    <w:p w14:paraId="74BC8D82" w14:textId="77777777" w:rsidR="00B17612" w:rsidRPr="00B17612" w:rsidRDefault="00B17612" w:rsidP="00B17612">
      <w:pPr>
        <w:pStyle w:val="NormalWeb"/>
        <w:rPr>
          <w:color w:val="4F81BD" w:themeColor="accent1"/>
        </w:rPr>
      </w:pPr>
      <w:r w:rsidRPr="00B17612">
        <w:rPr>
          <w:color w:val="4F81BD" w:themeColor="accent1"/>
        </w:rPr>
        <w:t xml:space="preserve">Considere </w:t>
      </w:r>
      <w:r w:rsidRPr="00B17612">
        <w:rPr>
          <w:rStyle w:val="Forte"/>
          <w:color w:val="4F81BD" w:themeColor="accent1"/>
        </w:rPr>
        <w:t>listar e detalhar os produtos ou sistemas de controle de contaminação utilizados</w:t>
      </w:r>
      <w:r w:rsidRPr="00B17612">
        <w:rPr>
          <w:color w:val="4F81BD" w:themeColor="accent1"/>
        </w:rPr>
        <w:t xml:space="preserve"> e seus respectivos propósitos.</w:t>
      </w:r>
    </w:p>
    <w:p w14:paraId="008D9E42" w14:textId="77777777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13.1. Equipamentos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646"/>
        <w:gridCol w:w="2624"/>
        <w:gridCol w:w="1843"/>
        <w:gridCol w:w="1479"/>
      </w:tblGrid>
      <w:tr w:rsidR="00B17612" w14:paraId="3860B216" w14:textId="77777777" w:rsidTr="00B17612">
        <w:trPr>
          <w:trHeight w:val="279"/>
        </w:trPr>
        <w:tc>
          <w:tcPr>
            <w:tcW w:w="2711" w:type="dxa"/>
            <w:vMerge w:val="restart"/>
            <w:shd w:val="clear" w:color="auto" w:fill="D9D9D9" w:themeFill="background1" w:themeFillShade="D9"/>
            <w:vAlign w:val="center"/>
          </w:tcPr>
          <w:p w14:paraId="788793F3" w14:textId="5730EC6F" w:rsidR="00B17612" w:rsidRPr="0068039B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 de Equipamento</w:t>
            </w:r>
          </w:p>
        </w:tc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14:paraId="3FC39396" w14:textId="0EE203E9" w:rsidR="00B17612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3409" w:type="dxa"/>
            <w:gridSpan w:val="2"/>
            <w:shd w:val="clear" w:color="auto" w:fill="D9D9D9" w:themeFill="background1" w:themeFillShade="D9"/>
            <w:vAlign w:val="center"/>
          </w:tcPr>
          <w:p w14:paraId="0443CEC9" w14:textId="30FEF32B" w:rsidR="00B17612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17612" w14:paraId="12D7867D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709CD141" w14:textId="77777777" w:rsidR="00B17612" w:rsidRPr="0068039B" w:rsidRDefault="00B17612" w:rsidP="00B17612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14:paraId="53ADDDE2" w14:textId="6A2DCBDE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14:paraId="4B148D98" w14:textId="4D01A899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6E88D81B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17612" w:rsidRPr="004F34C4" w14:paraId="5D05CD11" w14:textId="77777777" w:rsidTr="00B17612">
        <w:trPr>
          <w:trHeight w:val="318"/>
        </w:trPr>
        <w:tc>
          <w:tcPr>
            <w:tcW w:w="2711" w:type="dxa"/>
            <w:vMerge w:val="restart"/>
            <w:vAlign w:val="center"/>
          </w:tcPr>
          <w:p w14:paraId="714F147E" w14:textId="6CC37C2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5C18F991" w14:textId="03FA049E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902" w:type="dxa"/>
            <w:vAlign w:val="center"/>
          </w:tcPr>
          <w:p w14:paraId="01D210A0" w14:textId="5025FAF2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2D47E7F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0D98F5FC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4298EA8E" w14:textId="227ECF8B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22717817" w14:textId="1B1F0526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902" w:type="dxa"/>
            <w:vAlign w:val="center"/>
          </w:tcPr>
          <w:p w14:paraId="7F6B1A35" w14:textId="452B1FD8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AD94E2D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515B9243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40216BA9" w14:textId="75ECC635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2E14E79B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02" w:type="dxa"/>
            <w:vAlign w:val="center"/>
          </w:tcPr>
          <w:p w14:paraId="5D2C0530" w14:textId="7618BCEE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CCFF79F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0BEABBCB" w14:textId="77777777" w:rsidTr="00B17612">
        <w:trPr>
          <w:trHeight w:val="318"/>
        </w:trPr>
        <w:tc>
          <w:tcPr>
            <w:tcW w:w="2711" w:type="dxa"/>
            <w:vMerge w:val="restart"/>
            <w:vAlign w:val="center"/>
          </w:tcPr>
          <w:p w14:paraId="4106E5CA" w14:textId="177CE0BC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43F85612" w14:textId="127599D6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902" w:type="dxa"/>
            <w:vAlign w:val="center"/>
          </w:tcPr>
          <w:p w14:paraId="40AA3ADE" w14:textId="7305E392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DA1313C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712641CA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47330AED" w14:textId="2CC63AFB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1B455C78" w14:textId="449B5E90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902" w:type="dxa"/>
            <w:vAlign w:val="center"/>
          </w:tcPr>
          <w:p w14:paraId="0C36F813" w14:textId="290AB819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3D79971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3798A082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63B6D5FF" w14:textId="4BD168E1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46B58605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02" w:type="dxa"/>
            <w:vAlign w:val="center"/>
          </w:tcPr>
          <w:p w14:paraId="783C7BF6" w14:textId="4EF922B6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36C94E3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0EECE178" w14:textId="77777777" w:rsidTr="00B17612">
        <w:trPr>
          <w:trHeight w:val="318"/>
        </w:trPr>
        <w:tc>
          <w:tcPr>
            <w:tcW w:w="2711" w:type="dxa"/>
            <w:vMerge w:val="restart"/>
            <w:vAlign w:val="center"/>
          </w:tcPr>
          <w:p w14:paraId="75525F1C" w14:textId="3BB15455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766EC7A2" w14:textId="0DC4B55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902" w:type="dxa"/>
            <w:vAlign w:val="center"/>
          </w:tcPr>
          <w:p w14:paraId="7417A4BD" w14:textId="3CE348DB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A17D255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136A36C2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30928339" w14:textId="1CFD1D7E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3AD5E534" w14:textId="4E6D7D68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902" w:type="dxa"/>
            <w:vAlign w:val="center"/>
          </w:tcPr>
          <w:p w14:paraId="7FC0F83F" w14:textId="12ED7609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29008139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615E2CA6" w14:textId="77777777" w:rsidTr="00B17612">
        <w:trPr>
          <w:trHeight w:val="318"/>
        </w:trPr>
        <w:tc>
          <w:tcPr>
            <w:tcW w:w="2711" w:type="dxa"/>
            <w:vMerge/>
            <w:vAlign w:val="center"/>
          </w:tcPr>
          <w:p w14:paraId="5CFEC049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3423A6E8" w14:textId="77777777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02" w:type="dxa"/>
            <w:vAlign w:val="center"/>
          </w:tcPr>
          <w:p w14:paraId="56C6EBD2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2851B374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3DA786A7" w14:textId="77777777" w:rsid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</w:p>
    <w:p w14:paraId="2C911C11" w14:textId="1D618D53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13.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2</w:t>
      </w: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Salas Limpas / Áreas limpas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173"/>
        <w:gridCol w:w="1218"/>
        <w:gridCol w:w="2510"/>
        <w:gridCol w:w="1413"/>
        <w:gridCol w:w="1278"/>
      </w:tblGrid>
      <w:tr w:rsidR="00B17612" w14:paraId="70A0DE28" w14:textId="77777777" w:rsidTr="00B17612">
        <w:trPr>
          <w:trHeight w:val="279"/>
        </w:trPr>
        <w:tc>
          <w:tcPr>
            <w:tcW w:w="2220" w:type="dxa"/>
            <w:vMerge w:val="restart"/>
            <w:shd w:val="clear" w:color="auto" w:fill="D9D9D9" w:themeFill="background1" w:themeFillShade="D9"/>
            <w:vAlign w:val="center"/>
          </w:tcPr>
          <w:p w14:paraId="55EE8952" w14:textId="77777777" w:rsidR="00B17612" w:rsidRPr="0068039B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 de Equipamento</w:t>
            </w:r>
          </w:p>
        </w:tc>
        <w:tc>
          <w:tcPr>
            <w:tcW w:w="1252" w:type="dxa"/>
            <w:vMerge w:val="restart"/>
            <w:shd w:val="clear" w:color="auto" w:fill="D9D9D9" w:themeFill="background1" w:themeFillShade="D9"/>
            <w:vAlign w:val="center"/>
          </w:tcPr>
          <w:p w14:paraId="06F4D808" w14:textId="2BD5D6D0" w:rsidR="00B17612" w:rsidRDefault="00B17612" w:rsidP="00B1761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Grau</w:t>
            </w:r>
          </w:p>
        </w:tc>
        <w:tc>
          <w:tcPr>
            <w:tcW w:w="2592" w:type="dxa"/>
            <w:vMerge w:val="restart"/>
            <w:shd w:val="clear" w:color="auto" w:fill="D9D9D9" w:themeFill="background1" w:themeFillShade="D9"/>
            <w:vAlign w:val="center"/>
          </w:tcPr>
          <w:p w14:paraId="3B170421" w14:textId="104D77AD" w:rsidR="00B17612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2754" w:type="dxa"/>
            <w:gridSpan w:val="2"/>
            <w:shd w:val="clear" w:color="auto" w:fill="D9D9D9" w:themeFill="background1" w:themeFillShade="D9"/>
            <w:vAlign w:val="center"/>
          </w:tcPr>
          <w:p w14:paraId="7D062AB2" w14:textId="77777777" w:rsidR="00B17612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17612" w14:paraId="7CE02897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66778928" w14:textId="77777777" w:rsidR="00B17612" w:rsidRPr="0068039B" w:rsidRDefault="00B1761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  <w:shd w:val="clear" w:color="auto" w:fill="D9D9D9" w:themeFill="background1" w:themeFillShade="D9"/>
          </w:tcPr>
          <w:p w14:paraId="5FD3D4DA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592" w:type="dxa"/>
            <w:vMerge/>
            <w:shd w:val="clear" w:color="auto" w:fill="D9D9D9" w:themeFill="background1" w:themeFillShade="D9"/>
            <w:vAlign w:val="center"/>
          </w:tcPr>
          <w:p w14:paraId="12D5C1A3" w14:textId="7A105683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2D725897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298" w:type="dxa"/>
            <w:shd w:val="clear" w:color="auto" w:fill="D9D9D9" w:themeFill="background1" w:themeFillShade="D9"/>
            <w:vAlign w:val="center"/>
          </w:tcPr>
          <w:p w14:paraId="16BD728C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17612" w:rsidRPr="004F34C4" w14:paraId="4D20AB86" w14:textId="77777777" w:rsidTr="00B17612">
        <w:trPr>
          <w:trHeight w:val="318"/>
        </w:trPr>
        <w:tc>
          <w:tcPr>
            <w:tcW w:w="2220" w:type="dxa"/>
            <w:vMerge w:val="restart"/>
            <w:vAlign w:val="center"/>
          </w:tcPr>
          <w:p w14:paraId="3E8230DA" w14:textId="7777777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0AB79E19" w14:textId="55AB3104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</w:t>
            </w:r>
          </w:p>
        </w:tc>
        <w:tc>
          <w:tcPr>
            <w:tcW w:w="2592" w:type="dxa"/>
          </w:tcPr>
          <w:p w14:paraId="2398E8C0" w14:textId="5C99935F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456" w:type="dxa"/>
            <w:vAlign w:val="center"/>
          </w:tcPr>
          <w:p w14:paraId="3C25C127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0F6FBFE0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68271405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79610187" w14:textId="7777777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3DCA2CC2" w14:textId="77777777" w:rsidR="00B17612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19848DAF" w14:textId="4138DEDA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456" w:type="dxa"/>
            <w:vAlign w:val="center"/>
          </w:tcPr>
          <w:p w14:paraId="0D3C2CF2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5895067F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14BF747A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3E37F482" w14:textId="7777777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4C607F6D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03AC0043" w14:textId="1023E6F8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7892C66E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31D35DBA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121010D6" w14:textId="77777777" w:rsidTr="001B1961">
        <w:trPr>
          <w:trHeight w:val="318"/>
        </w:trPr>
        <w:tc>
          <w:tcPr>
            <w:tcW w:w="2220" w:type="dxa"/>
            <w:vMerge w:val="restart"/>
            <w:vAlign w:val="center"/>
          </w:tcPr>
          <w:p w14:paraId="5B2A7CE2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0805C571" w14:textId="25820EDA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B</w:t>
            </w:r>
          </w:p>
        </w:tc>
        <w:tc>
          <w:tcPr>
            <w:tcW w:w="2592" w:type="dxa"/>
          </w:tcPr>
          <w:p w14:paraId="607443A2" w14:textId="134DB949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456" w:type="dxa"/>
            <w:vAlign w:val="center"/>
          </w:tcPr>
          <w:p w14:paraId="675397E8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0CF79B5E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7155397A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4E195FCE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3E7D5287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68D3E613" w14:textId="27C9DD7E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456" w:type="dxa"/>
            <w:vAlign w:val="center"/>
          </w:tcPr>
          <w:p w14:paraId="242E495C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1EC11BD3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30A02E82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35782E3D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5E92B665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3D6C3189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7AB51D5F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1134C618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42781CDE" w14:textId="77777777" w:rsidTr="00A14A7F">
        <w:trPr>
          <w:trHeight w:val="318"/>
        </w:trPr>
        <w:tc>
          <w:tcPr>
            <w:tcW w:w="2220" w:type="dxa"/>
            <w:vMerge w:val="restart"/>
            <w:vAlign w:val="center"/>
          </w:tcPr>
          <w:p w14:paraId="2FCE0B3F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0E924AC7" w14:textId="60263DCC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</w:t>
            </w:r>
          </w:p>
        </w:tc>
        <w:tc>
          <w:tcPr>
            <w:tcW w:w="2592" w:type="dxa"/>
          </w:tcPr>
          <w:p w14:paraId="1D4B746F" w14:textId="17D834CC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456" w:type="dxa"/>
            <w:vAlign w:val="center"/>
          </w:tcPr>
          <w:p w14:paraId="72BE8C61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131C5F13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21541CC9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0A0A5465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49545F69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44DD2C3D" w14:textId="5C6E3C3E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456" w:type="dxa"/>
            <w:vAlign w:val="center"/>
          </w:tcPr>
          <w:p w14:paraId="73F70BFB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679384A2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2D7ED5AA" w14:textId="77777777" w:rsidTr="00B17612">
        <w:trPr>
          <w:trHeight w:val="318"/>
        </w:trPr>
        <w:tc>
          <w:tcPr>
            <w:tcW w:w="2220" w:type="dxa"/>
            <w:vMerge/>
            <w:vAlign w:val="center"/>
          </w:tcPr>
          <w:p w14:paraId="7691CE28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529EBC62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2EADCC27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5C7DB1C2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5D194527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41C5D929" w14:textId="77777777" w:rsidTr="00595A8B">
        <w:trPr>
          <w:trHeight w:val="318"/>
        </w:trPr>
        <w:tc>
          <w:tcPr>
            <w:tcW w:w="2220" w:type="dxa"/>
            <w:vMerge w:val="restart"/>
            <w:vAlign w:val="center"/>
          </w:tcPr>
          <w:p w14:paraId="2FBDA433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1950FB5E" w14:textId="2AD35E53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</w:t>
            </w:r>
          </w:p>
        </w:tc>
        <w:tc>
          <w:tcPr>
            <w:tcW w:w="2592" w:type="dxa"/>
          </w:tcPr>
          <w:p w14:paraId="52C7F986" w14:textId="3AEEE1D3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Limpeza</w:t>
            </w:r>
          </w:p>
        </w:tc>
        <w:tc>
          <w:tcPr>
            <w:tcW w:w="1456" w:type="dxa"/>
            <w:vAlign w:val="center"/>
          </w:tcPr>
          <w:p w14:paraId="5CBC623E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4211D930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44A63CF5" w14:textId="77777777" w:rsidTr="00595A8B">
        <w:trPr>
          <w:trHeight w:val="318"/>
        </w:trPr>
        <w:tc>
          <w:tcPr>
            <w:tcW w:w="2220" w:type="dxa"/>
            <w:vMerge/>
            <w:vAlign w:val="center"/>
          </w:tcPr>
          <w:p w14:paraId="0409C409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05B24924" w14:textId="77777777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23ACA293" w14:textId="387D6F6D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Desinfecção</w:t>
            </w:r>
          </w:p>
        </w:tc>
        <w:tc>
          <w:tcPr>
            <w:tcW w:w="1456" w:type="dxa"/>
            <w:vAlign w:val="center"/>
          </w:tcPr>
          <w:p w14:paraId="30E5B998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780DCE0A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36848D41" w14:textId="77777777" w:rsidTr="00595A8B">
        <w:trPr>
          <w:trHeight w:val="318"/>
        </w:trPr>
        <w:tc>
          <w:tcPr>
            <w:tcW w:w="2220" w:type="dxa"/>
            <w:vMerge/>
            <w:vAlign w:val="center"/>
          </w:tcPr>
          <w:p w14:paraId="23D2BFA6" w14:textId="7777777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52" w:type="dxa"/>
            <w:vMerge/>
          </w:tcPr>
          <w:p w14:paraId="670EF80D" w14:textId="77777777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444F0621" w14:textId="77777777" w:rsidR="00B17612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26AB000C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298" w:type="dxa"/>
          </w:tcPr>
          <w:p w14:paraId="092DA0F5" w14:textId="77777777" w:rsidR="00B17612" w:rsidRPr="004F34C4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15C92B5F" w14:textId="77777777" w:rsidR="00B17612" w:rsidRDefault="00B17612" w:rsidP="0051009B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6E7261BF" w14:textId="77777777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13.3. Roupas de Sala Limpa</w:t>
      </w:r>
    </w:p>
    <w:p w14:paraId="351CCC68" w14:textId="77777777" w:rsidR="00B17612" w:rsidRDefault="00B17612" w:rsidP="00B17612">
      <w:pPr>
        <w:jc w:val="both"/>
        <w:rPr>
          <w:rFonts w:ascii="Arial" w:hAnsi="Arial" w:cs="Arial"/>
          <w:color w:val="4F81BD" w:themeColor="accent1"/>
          <w:lang w:val="pt-BR"/>
        </w:rPr>
      </w:pPr>
      <w:r w:rsidRPr="00B17612">
        <w:rPr>
          <w:rFonts w:ascii="Arial" w:hAnsi="Arial" w:cs="Arial"/>
          <w:color w:val="4F81BD" w:themeColor="accent1"/>
          <w:lang w:val="pt-BR"/>
        </w:rPr>
        <w:t>Consulte a Seção 4.3.</w:t>
      </w:r>
    </w:p>
    <w:p w14:paraId="4B429BA8" w14:textId="77777777" w:rsidR="00B17612" w:rsidRPr="00B17612" w:rsidRDefault="00B17612" w:rsidP="00B17612">
      <w:pPr>
        <w:jc w:val="both"/>
        <w:rPr>
          <w:rFonts w:ascii="Arial" w:hAnsi="Arial" w:cs="Arial"/>
          <w:color w:val="4F81BD" w:themeColor="accent1"/>
          <w:lang w:val="pt-BR"/>
        </w:rPr>
      </w:pPr>
    </w:p>
    <w:p w14:paraId="244F3501" w14:textId="77777777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14. Sistemas de Monitoramento – incluindo uma avaliação da viabilidade da introdução de métodos modernos e cientificamente sólidos que otimizem a detecção de contaminação ambiental</w:t>
      </w:r>
    </w:p>
    <w:p w14:paraId="0DB1276E" w14:textId="77777777" w:rsidR="00B17612" w:rsidRPr="00B17612" w:rsidRDefault="00B17612" w:rsidP="00B17612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b/>
          <w:bCs/>
          <w:color w:val="4F81BD" w:themeColor="accent1"/>
          <w:lang w:val="pt-BR"/>
        </w:rPr>
        <w:t>Aspectos relevantes:</w:t>
      </w:r>
    </w:p>
    <w:p w14:paraId="6042660D" w14:textId="77777777" w:rsidR="00B17612" w:rsidRPr="00B17612" w:rsidRDefault="00B17612" w:rsidP="00B17612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Referência às Avaliações de Risco, que definem os pontos de amostragem</w:t>
      </w:r>
    </w:p>
    <w:p w14:paraId="6E51D850" w14:textId="77777777" w:rsidR="00B17612" w:rsidRDefault="00B17612" w:rsidP="00B17612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Procedimentos Operacionais Padrão (POPs)</w:t>
      </w:r>
    </w:p>
    <w:p w14:paraId="0407CFEC" w14:textId="645BD8B9" w:rsidR="00B17612" w:rsidRPr="00B17612" w:rsidRDefault="00B17612" w:rsidP="00B17612">
      <w:pPr>
        <w:numPr>
          <w:ilvl w:val="0"/>
          <w:numId w:val="21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>
        <w:rPr>
          <w:rFonts w:ascii="Times New Roman" w:hAnsi="Times New Roman" w:cs="Times New Roman"/>
          <w:color w:val="4F81BD" w:themeColor="accent1"/>
          <w:lang w:val="pt-BR"/>
        </w:rPr>
        <w:t>Referência aos relatórios e como a descrição de como a tendência é realizada (POP) e conclusões foram desenhadas</w:t>
      </w:r>
    </w:p>
    <w:p w14:paraId="02E97112" w14:textId="67224844" w:rsidR="00B17612" w:rsidRDefault="00B17612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14.1. Procedimentos Gerais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1"/>
        <w:gridCol w:w="2755"/>
        <w:gridCol w:w="1906"/>
      </w:tblGrid>
      <w:tr w:rsidR="00B17612" w14:paraId="1B1C1553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2B816B7A" w14:textId="77777777" w:rsidR="00B17612" w:rsidRPr="0068039B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1F04ED9B" w14:textId="77777777" w:rsidR="00B17612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17612" w14:paraId="2473ED62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1F6AC59B" w14:textId="77777777" w:rsidR="00B17612" w:rsidRPr="0068039B" w:rsidRDefault="00B1761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E2B847A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46862CDD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17612" w:rsidRPr="00F80960" w14:paraId="49ABC59D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0E668CF1" w14:textId="1BF362A0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B17612">
              <w:rPr>
                <w:rFonts w:ascii="Times New Roman" w:hAnsi="Times New Roman" w:cs="Times New Roman"/>
                <w:color w:val="000000" w:themeColor="text1"/>
                <w:lang w:val="pt-BR"/>
              </w:rPr>
              <w:t>Instrução sobre como desenvolver pontos de amostragem / frequência / limites de alerta e ação</w:t>
            </w:r>
          </w:p>
        </w:tc>
        <w:tc>
          <w:tcPr>
            <w:tcW w:w="2835" w:type="dxa"/>
            <w:vAlign w:val="center"/>
          </w:tcPr>
          <w:p w14:paraId="0F399FD8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0B5CDFA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F80960" w14:paraId="5F6982BF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5DC8F10C" w14:textId="434E178D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B17612">
              <w:rPr>
                <w:rFonts w:ascii="Times New Roman" w:hAnsi="Times New Roman" w:cs="Times New Roman"/>
                <w:color w:val="000000" w:themeColor="text1"/>
                <w:lang w:val="pt-BR"/>
              </w:rPr>
              <w:t>Instrução para a preparação de relatórios</w:t>
            </w:r>
          </w:p>
        </w:tc>
        <w:tc>
          <w:tcPr>
            <w:tcW w:w="2835" w:type="dxa"/>
            <w:vAlign w:val="center"/>
          </w:tcPr>
          <w:p w14:paraId="00D45179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C4648F3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F80960" w14:paraId="239E05E0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6DC9B120" w14:textId="29D7B6C7" w:rsidR="00B17612" w:rsidRPr="00D35AA8" w:rsidRDefault="00B17612" w:rsidP="00B17612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B17612">
              <w:rPr>
                <w:rFonts w:ascii="Times New Roman" w:hAnsi="Times New Roman" w:cs="Times New Roman"/>
                <w:color w:val="000000" w:themeColor="text1"/>
                <w:lang w:val="pt-BR"/>
              </w:rPr>
              <w:t>POP sobre como realizar análise de tendência</w:t>
            </w:r>
          </w:p>
        </w:tc>
        <w:tc>
          <w:tcPr>
            <w:tcW w:w="2835" w:type="dxa"/>
            <w:vAlign w:val="center"/>
          </w:tcPr>
          <w:p w14:paraId="6D9D0D5C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3D1682A0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59A50A1A" w14:textId="77777777" w:rsidR="00B17612" w:rsidRDefault="00B17612" w:rsidP="0051009B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</w:p>
    <w:p w14:paraId="48336FA8" w14:textId="77777777" w:rsidR="00B17612" w:rsidRPr="00B17612" w:rsidRDefault="00B17612" w:rsidP="00B17612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14.2. Monitoramento de Sistemas</w:t>
      </w:r>
    </w:p>
    <w:p w14:paraId="784F4A6F" w14:textId="77777777" w:rsidR="00B17612" w:rsidRPr="00B17612" w:rsidRDefault="00B17612" w:rsidP="00B17612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14.2.1. Ambiente</w:t>
      </w:r>
    </w:p>
    <w:p w14:paraId="14E76C54" w14:textId="77777777" w:rsidR="00B17612" w:rsidRPr="00B17612" w:rsidRDefault="00B17612" w:rsidP="00B17612">
      <w:pPr>
        <w:jc w:val="both"/>
        <w:rPr>
          <w:rFonts w:ascii="Times New Roman" w:hAnsi="Times New Roman" w:cs="Times New Roman"/>
          <w:lang w:val="pt-BR"/>
        </w:rPr>
      </w:pPr>
      <w:r w:rsidRPr="00B17612">
        <w:rPr>
          <w:rFonts w:ascii="Times New Roman" w:hAnsi="Times New Roman" w:cs="Times New Roman"/>
          <w:lang w:val="pt-BR"/>
        </w:rPr>
        <w:t xml:space="preserve">Resumir e fazer referência cruzada com a seção relevante deste documento para descrever os métodos de monitoramento e ensaio de partículas viáveis e não viáveis associados. Descrever se a </w:t>
      </w:r>
      <w:r w:rsidRPr="00B17612">
        <w:rPr>
          <w:rFonts w:ascii="Times New Roman" w:hAnsi="Times New Roman" w:cs="Times New Roman"/>
          <w:lang w:val="pt-BR"/>
        </w:rPr>
        <w:lastRenderedPageBreak/>
        <w:t>amostragem é realizada por pessoal interno ou externo e o acompanhamento geral pelo departamento de qualidade.</w:t>
      </w:r>
    </w:p>
    <w:p w14:paraId="0D338A7E" w14:textId="77777777" w:rsidR="00B17612" w:rsidRPr="00B17612" w:rsidRDefault="00B17612" w:rsidP="00B17612">
      <w:pPr>
        <w:jc w:val="both"/>
        <w:rPr>
          <w:rFonts w:ascii="Times New Roman" w:hAnsi="Times New Roman" w:cs="Times New Roman"/>
          <w:lang w:val="pt-BR"/>
        </w:rPr>
      </w:pPr>
      <w:r w:rsidRPr="00B17612">
        <w:rPr>
          <w:rFonts w:ascii="Times New Roman" w:hAnsi="Times New Roman" w:cs="Times New Roman"/>
          <w:lang w:val="pt-BR"/>
        </w:rPr>
        <w:t>Descrever a frequência, localização e tipo de amostragem, incluindo a definição dos limites de alerta e ação. Informar a frequência da revisão e análise histórica dos dados de monitoramento ambiental (EM).</w:t>
      </w:r>
    </w:p>
    <w:p w14:paraId="0D54AB30" w14:textId="77777777" w:rsidR="00B17612" w:rsidRPr="00B17612" w:rsidRDefault="00B17612" w:rsidP="00B17612">
      <w:pPr>
        <w:jc w:val="both"/>
        <w:rPr>
          <w:rFonts w:ascii="Times New Roman" w:hAnsi="Times New Roman" w:cs="Times New Roman"/>
          <w:lang w:val="pt-BR"/>
        </w:rPr>
      </w:pPr>
      <w:r w:rsidRPr="00B17612">
        <w:rPr>
          <w:rFonts w:ascii="Times New Roman" w:hAnsi="Times New Roman" w:cs="Times New Roman"/>
          <w:lang w:val="pt-BR"/>
        </w:rPr>
        <w:t>Fazer referência à seção que discute a integridade dos filtros, a velocidade do ar fornecido, os estudos de fumaça, a diferença de pressão, temperatura, umidade relativa, etc.</w:t>
      </w:r>
    </w:p>
    <w:p w14:paraId="043818BF" w14:textId="77777777" w:rsidR="00B17612" w:rsidRDefault="00B17612" w:rsidP="00B17612">
      <w:pPr>
        <w:jc w:val="both"/>
        <w:rPr>
          <w:rFonts w:ascii="Times New Roman" w:hAnsi="Times New Roman" w:cs="Times New Roman"/>
          <w:lang w:val="pt-BR"/>
        </w:rPr>
      </w:pPr>
      <w:r w:rsidRPr="00B17612">
        <w:rPr>
          <w:rFonts w:ascii="Times New Roman" w:hAnsi="Times New Roman" w:cs="Times New Roman"/>
          <w:lang w:val="pt-BR"/>
        </w:rPr>
        <w:t>Fazer referência também ao meio de cultura e programa de incubação microbiológica utilizados, exposição ao ar do meio (por exemplo, placa de sedimentação), validação, etc.</w:t>
      </w:r>
    </w:p>
    <w:p w14:paraId="771A15B9" w14:textId="77777777" w:rsidR="00B17612" w:rsidRPr="00B17612" w:rsidRDefault="00B17612" w:rsidP="00B17612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14.2.2. Água e Vapor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628"/>
        <w:gridCol w:w="2640"/>
        <w:gridCol w:w="1844"/>
        <w:gridCol w:w="1480"/>
      </w:tblGrid>
      <w:tr w:rsidR="00B17612" w14:paraId="597041FC" w14:textId="77777777" w:rsidTr="000E5F33">
        <w:trPr>
          <w:trHeight w:val="279"/>
        </w:trPr>
        <w:tc>
          <w:tcPr>
            <w:tcW w:w="2711" w:type="dxa"/>
            <w:vMerge w:val="restart"/>
            <w:shd w:val="clear" w:color="auto" w:fill="D9D9D9" w:themeFill="background1" w:themeFillShade="D9"/>
            <w:vAlign w:val="center"/>
          </w:tcPr>
          <w:p w14:paraId="54580B10" w14:textId="1687ACDB" w:rsidR="00B17612" w:rsidRPr="0068039B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</w:t>
            </w:r>
          </w:p>
        </w:tc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14:paraId="50AD4791" w14:textId="77777777" w:rsidR="00B17612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3409" w:type="dxa"/>
            <w:gridSpan w:val="2"/>
            <w:shd w:val="clear" w:color="auto" w:fill="D9D9D9" w:themeFill="background1" w:themeFillShade="D9"/>
            <w:vAlign w:val="center"/>
          </w:tcPr>
          <w:p w14:paraId="229F6EF4" w14:textId="77777777" w:rsidR="00B17612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B17612" w14:paraId="65453BF4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42A034FE" w14:textId="77777777" w:rsidR="00B17612" w:rsidRPr="0068039B" w:rsidRDefault="00B17612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14:paraId="171DC2F3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14:paraId="6BCCB379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270E28F0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B17612" w:rsidRPr="004F34C4" w14:paraId="1AB51CCA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2C19E565" w14:textId="26346D3B" w:rsidR="00B17612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Água da prefeitura </w:t>
            </w: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(opcional)</w:t>
            </w:r>
          </w:p>
        </w:tc>
        <w:tc>
          <w:tcPr>
            <w:tcW w:w="2698" w:type="dxa"/>
          </w:tcPr>
          <w:p w14:paraId="788220CA" w14:textId="10785516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3330E211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55D633D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3A301BEF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311E2E27" w14:textId="7777777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6DDD4D8E" w14:textId="752F1314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5DF5340D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22DAAD1E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B17612" w:rsidRPr="004F34C4" w14:paraId="1FB8BF35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62AC76F7" w14:textId="77777777" w:rsidR="00B17612" w:rsidRPr="00D35AA8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0D5CC517" w14:textId="33579DF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3B01B14A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AFB249F" w14:textId="77777777" w:rsidR="00B17612" w:rsidRPr="004F34C4" w:rsidRDefault="00B17612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0D77EB93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0D8C06C2" w14:textId="0E47DF95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Água purificada</w:t>
            </w:r>
          </w:p>
        </w:tc>
        <w:tc>
          <w:tcPr>
            <w:tcW w:w="2698" w:type="dxa"/>
          </w:tcPr>
          <w:p w14:paraId="4FEC0449" w14:textId="709A8F41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2C6D4D1F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834679D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F766F8A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4C950B7E" w14:textId="77777777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0CE6B73E" w14:textId="7476A14D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0A109088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8855E10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5A73D4AA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2DA1F845" w14:textId="77777777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39BE41B7" w14:textId="06170E5F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52EBCA5E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ABF5D8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1A0C31BE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28B268AF" w14:textId="06F2838E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Vapor Puro</w:t>
            </w:r>
          </w:p>
        </w:tc>
        <w:tc>
          <w:tcPr>
            <w:tcW w:w="2698" w:type="dxa"/>
          </w:tcPr>
          <w:p w14:paraId="5F66BCC4" w14:textId="14182C8D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03649814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52AE7D2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84B0EC6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60DD0051" w14:textId="77777777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19620968" w14:textId="7E71EC91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610F966C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2E0A9D8E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5C9D797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2282B8FE" w14:textId="77777777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0BFFB3CE" w14:textId="738D8496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6BA19CE8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20D5D8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33C3F040" w14:textId="77777777" w:rsidR="00A95D4A" w:rsidRDefault="00A95D4A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1DAF7CF2" w14:textId="09807FC9" w:rsidR="00A95D4A" w:rsidRDefault="00A95D4A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14.2.</w:t>
      </w:r>
      <w:r>
        <w:rPr>
          <w:rFonts w:ascii="Times New Roman" w:hAnsi="Times New Roman" w:cs="Times New Roman"/>
          <w:color w:val="4F81BD" w:themeColor="accent1"/>
          <w:lang w:val="pt-BR"/>
        </w:rPr>
        <w:t>3</w:t>
      </w:r>
      <w:r w:rsidRPr="00B17612">
        <w:rPr>
          <w:rFonts w:ascii="Times New Roman" w:hAnsi="Times New Roman" w:cs="Times New Roman"/>
          <w:color w:val="4F81BD" w:themeColor="accent1"/>
          <w:lang w:val="pt-BR"/>
        </w:rPr>
        <w:t xml:space="preserve">. </w:t>
      </w:r>
      <w:r>
        <w:rPr>
          <w:rFonts w:ascii="Times New Roman" w:hAnsi="Times New Roman" w:cs="Times New Roman"/>
          <w:color w:val="4F81BD" w:themeColor="accent1"/>
          <w:lang w:val="pt-BR"/>
        </w:rPr>
        <w:t>Sala Limpa</w:t>
      </w:r>
    </w:p>
    <w:p w14:paraId="6B77E42D" w14:textId="458080FF" w:rsidR="00A95D4A" w:rsidRPr="00B17612" w:rsidRDefault="00A95D4A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>
        <w:rPr>
          <w:rFonts w:ascii="Times New Roman" w:hAnsi="Times New Roman" w:cs="Times New Roman"/>
          <w:color w:val="4F81BD" w:themeColor="accent1"/>
          <w:lang w:val="pt-BR"/>
        </w:rPr>
        <w:t>Considerar diferenciações entre diferentes áreas e / ou classificações de salas limpas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645"/>
        <w:gridCol w:w="2633"/>
        <w:gridCol w:w="1837"/>
        <w:gridCol w:w="1477"/>
      </w:tblGrid>
      <w:tr w:rsidR="00A95D4A" w14:paraId="6820F90D" w14:textId="77777777" w:rsidTr="000E5F33">
        <w:trPr>
          <w:trHeight w:val="279"/>
        </w:trPr>
        <w:tc>
          <w:tcPr>
            <w:tcW w:w="2711" w:type="dxa"/>
            <w:vMerge w:val="restart"/>
            <w:shd w:val="clear" w:color="auto" w:fill="D9D9D9" w:themeFill="background1" w:themeFillShade="D9"/>
            <w:vAlign w:val="center"/>
          </w:tcPr>
          <w:p w14:paraId="705919CA" w14:textId="77777777" w:rsidR="00A95D4A" w:rsidRPr="0068039B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</w:t>
            </w:r>
          </w:p>
        </w:tc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14:paraId="253F5E55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3409" w:type="dxa"/>
            <w:gridSpan w:val="2"/>
            <w:shd w:val="clear" w:color="auto" w:fill="D9D9D9" w:themeFill="background1" w:themeFillShade="D9"/>
            <w:vAlign w:val="center"/>
          </w:tcPr>
          <w:p w14:paraId="0B12B7C7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A95D4A" w14:paraId="6A3B8305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53FF448F" w14:textId="77777777" w:rsidR="00A95D4A" w:rsidRPr="0068039B" w:rsidRDefault="00A95D4A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14:paraId="02F5FDD1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14:paraId="3216E29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32FE8B87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A95D4A" w:rsidRPr="004F34C4" w14:paraId="3AD90748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081E53E0" w14:textId="7D753446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 de partículas viáveis</w:t>
            </w:r>
          </w:p>
        </w:tc>
        <w:tc>
          <w:tcPr>
            <w:tcW w:w="2698" w:type="dxa"/>
          </w:tcPr>
          <w:p w14:paraId="0E8471EC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0A133165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1D5AAE2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4813E26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32F93690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1DAF114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60357D0B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F0B030E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369E5B34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4D3A20A1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4A029EB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6190F28E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10B62461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0DFDA1CA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3107AA4A" w14:textId="39597737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Monitoramento de partículas não-viáveis</w:t>
            </w:r>
          </w:p>
        </w:tc>
        <w:tc>
          <w:tcPr>
            <w:tcW w:w="2698" w:type="dxa"/>
          </w:tcPr>
          <w:p w14:paraId="0E1CB8CB" w14:textId="62A069C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7EEA0A66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39DF645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206E561C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336C0FB2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53A2E8DE" w14:textId="43EA2419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2BCC783F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E2DDC6E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7F319D64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428C2EDD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16EEB82B" w14:textId="2D701245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5F1C01F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0845159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64FC9812" w14:textId="77777777" w:rsidR="00B17612" w:rsidRDefault="00B17612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588E31A6" w14:textId="48D1B9DB" w:rsidR="00A95D4A" w:rsidRPr="00B17612" w:rsidRDefault="00A95D4A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B17612">
        <w:rPr>
          <w:rFonts w:ascii="Times New Roman" w:hAnsi="Times New Roman" w:cs="Times New Roman"/>
          <w:color w:val="4F81BD" w:themeColor="accent1"/>
          <w:lang w:val="pt-BR"/>
        </w:rPr>
        <w:t>14.2.</w:t>
      </w:r>
      <w:r>
        <w:rPr>
          <w:rFonts w:ascii="Times New Roman" w:hAnsi="Times New Roman" w:cs="Times New Roman"/>
          <w:color w:val="4F81BD" w:themeColor="accent1"/>
          <w:lang w:val="pt-BR"/>
        </w:rPr>
        <w:t>4</w:t>
      </w:r>
      <w:r w:rsidRPr="00B17612">
        <w:rPr>
          <w:rFonts w:ascii="Times New Roman" w:hAnsi="Times New Roman" w:cs="Times New Roman"/>
          <w:color w:val="4F81BD" w:themeColor="accent1"/>
          <w:lang w:val="pt-BR"/>
        </w:rPr>
        <w:t xml:space="preserve">. </w:t>
      </w:r>
      <w:r>
        <w:rPr>
          <w:rFonts w:ascii="Times New Roman" w:hAnsi="Times New Roman" w:cs="Times New Roman"/>
          <w:color w:val="4F81BD" w:themeColor="accent1"/>
          <w:lang w:val="pt-BR"/>
        </w:rPr>
        <w:t>Gases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2633"/>
        <w:gridCol w:w="2638"/>
        <w:gridCol w:w="1842"/>
        <w:gridCol w:w="1479"/>
      </w:tblGrid>
      <w:tr w:rsidR="00A95D4A" w14:paraId="5CA9F9A5" w14:textId="77777777" w:rsidTr="000E5F33">
        <w:trPr>
          <w:trHeight w:val="279"/>
        </w:trPr>
        <w:tc>
          <w:tcPr>
            <w:tcW w:w="2711" w:type="dxa"/>
            <w:vMerge w:val="restart"/>
            <w:shd w:val="clear" w:color="auto" w:fill="D9D9D9" w:themeFill="background1" w:themeFillShade="D9"/>
            <w:vAlign w:val="center"/>
          </w:tcPr>
          <w:p w14:paraId="6213A590" w14:textId="77777777" w:rsidR="00A95D4A" w:rsidRPr="0068039B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Tipo</w:t>
            </w:r>
          </w:p>
        </w:tc>
        <w:tc>
          <w:tcPr>
            <w:tcW w:w="2698" w:type="dxa"/>
            <w:vMerge w:val="restart"/>
            <w:shd w:val="clear" w:color="auto" w:fill="D9D9D9" w:themeFill="background1" w:themeFillShade="D9"/>
            <w:vAlign w:val="center"/>
          </w:tcPr>
          <w:p w14:paraId="26C3739C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3409" w:type="dxa"/>
            <w:gridSpan w:val="2"/>
            <w:shd w:val="clear" w:color="auto" w:fill="D9D9D9" w:themeFill="background1" w:themeFillShade="D9"/>
            <w:vAlign w:val="center"/>
          </w:tcPr>
          <w:p w14:paraId="3336E989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A95D4A" w14:paraId="308B6C9E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7FDB16B7" w14:textId="77777777" w:rsidR="00A95D4A" w:rsidRPr="0068039B" w:rsidRDefault="00A95D4A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698" w:type="dxa"/>
            <w:vMerge/>
            <w:shd w:val="clear" w:color="auto" w:fill="D9D9D9" w:themeFill="background1" w:themeFillShade="D9"/>
            <w:vAlign w:val="center"/>
          </w:tcPr>
          <w:p w14:paraId="13035A47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1902" w:type="dxa"/>
            <w:shd w:val="clear" w:color="auto" w:fill="D9D9D9" w:themeFill="background1" w:themeFillShade="D9"/>
            <w:vAlign w:val="center"/>
          </w:tcPr>
          <w:p w14:paraId="02AB099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769AED38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A95D4A" w:rsidRPr="004F34C4" w14:paraId="0504E8B2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6FD2A9C2" w14:textId="4D584273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 comprimido que tem contato com produto</w:t>
            </w:r>
          </w:p>
        </w:tc>
        <w:tc>
          <w:tcPr>
            <w:tcW w:w="2698" w:type="dxa"/>
          </w:tcPr>
          <w:p w14:paraId="7FC778CD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22723E18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13C4EEAC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39E49B1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285FAE96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79B973A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5A95B7BC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CB695D1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10203F4C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2A7DF22E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3CC0913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4291031D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0315895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495A05A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4029010E" w14:textId="55EA3454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Nitrogênio</w:t>
            </w:r>
          </w:p>
        </w:tc>
        <w:tc>
          <w:tcPr>
            <w:tcW w:w="2698" w:type="dxa"/>
          </w:tcPr>
          <w:p w14:paraId="001A43A4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0AA19DFC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53670E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21538D6E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3B357CFB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0E086C5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74305609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D6185B6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78819BA2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1D65879C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5B102C8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168A4F54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3121A2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B3F7948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1F3C9DC6" w14:textId="3870294A" w:rsidR="00A95D4A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CO</w:t>
            </w:r>
            <w:r w:rsidRPr="00A95D4A">
              <w:rPr>
                <w:rFonts w:ascii="Times New Roman" w:hAnsi="Times New Roman" w:cs="Times New Roman"/>
                <w:color w:val="000000" w:themeColor="text1"/>
                <w:vertAlign w:val="subscript"/>
                <w:lang w:val="pt-BR"/>
              </w:rPr>
              <w:t>2</w:t>
            </w:r>
          </w:p>
        </w:tc>
        <w:tc>
          <w:tcPr>
            <w:tcW w:w="2698" w:type="dxa"/>
          </w:tcPr>
          <w:p w14:paraId="737D7B96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2FFB0E59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4D6232B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17387A63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5D1C95D9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2CAD85BE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17F090A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02EB4812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2825C720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6CBBE302" w14:textId="77777777" w:rsidR="00A95D4A" w:rsidRPr="00D35AA8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7F00B9A9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59DF850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6EFE2D89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A9F6776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4E4E1857" w14:textId="3F28FB54" w:rsidR="00A95D4A" w:rsidRPr="00D35AA8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O</w:t>
            </w:r>
            <w:r w:rsidRPr="00A95D4A">
              <w:rPr>
                <w:rFonts w:ascii="Times New Roman" w:hAnsi="Times New Roman" w:cs="Times New Roman"/>
                <w:color w:val="000000" w:themeColor="text1"/>
                <w:vertAlign w:val="subscript"/>
                <w:lang w:val="pt-BR"/>
              </w:rPr>
              <w:t>2</w:t>
            </w:r>
          </w:p>
        </w:tc>
        <w:tc>
          <w:tcPr>
            <w:tcW w:w="2698" w:type="dxa"/>
          </w:tcPr>
          <w:p w14:paraId="25089C6C" w14:textId="51EED201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5665946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11FB23F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B2F99C3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1AE17726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56A49F15" w14:textId="1C2AAB94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0477BDE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00BCEF29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74E45E45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2268F66D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2FC269C6" w14:textId="7801637E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506090EB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23A465DC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84A5237" w14:textId="77777777" w:rsidTr="000E5F33">
        <w:trPr>
          <w:trHeight w:val="318"/>
        </w:trPr>
        <w:tc>
          <w:tcPr>
            <w:tcW w:w="2711" w:type="dxa"/>
            <w:vMerge w:val="restart"/>
            <w:vAlign w:val="center"/>
          </w:tcPr>
          <w:p w14:paraId="5107A306" w14:textId="13A6F0D0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Outros</w:t>
            </w:r>
          </w:p>
        </w:tc>
        <w:tc>
          <w:tcPr>
            <w:tcW w:w="2698" w:type="dxa"/>
          </w:tcPr>
          <w:p w14:paraId="2D05EF74" w14:textId="33C47BB0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1902" w:type="dxa"/>
            <w:vAlign w:val="center"/>
          </w:tcPr>
          <w:p w14:paraId="57BFF98D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7AD569D7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53107408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5087AAF9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7FB7022C" w14:textId="39404846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1902" w:type="dxa"/>
            <w:vAlign w:val="center"/>
          </w:tcPr>
          <w:p w14:paraId="2ADB4B85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39ECF8C5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48CF73D" w14:textId="77777777" w:rsidTr="000E5F33">
        <w:trPr>
          <w:trHeight w:val="318"/>
        </w:trPr>
        <w:tc>
          <w:tcPr>
            <w:tcW w:w="2711" w:type="dxa"/>
            <w:vMerge/>
            <w:vAlign w:val="center"/>
          </w:tcPr>
          <w:p w14:paraId="5E1BD457" w14:textId="77777777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698" w:type="dxa"/>
          </w:tcPr>
          <w:p w14:paraId="6CADFB99" w14:textId="0EF5D8EC" w:rsidR="00A95D4A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Sumário do relatório</w:t>
            </w:r>
          </w:p>
        </w:tc>
        <w:tc>
          <w:tcPr>
            <w:tcW w:w="1902" w:type="dxa"/>
            <w:vAlign w:val="center"/>
          </w:tcPr>
          <w:p w14:paraId="699A0F4C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507" w:type="dxa"/>
          </w:tcPr>
          <w:p w14:paraId="5649B40B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0CE56CDE" w14:textId="77777777" w:rsidR="00A95D4A" w:rsidRDefault="00A95D4A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056E8B8A" w14:textId="5B2B2DA1" w:rsidR="00A95D4A" w:rsidRPr="00B17612" w:rsidRDefault="00A95D4A" w:rsidP="00A95D4A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14.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3</w:t>
      </w:r>
      <w:r w:rsidRPr="00B17612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 xml:space="preserve">. </w:t>
      </w:r>
      <w:r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Pessoas</w:t>
      </w:r>
    </w:p>
    <w:p w14:paraId="4E67F6A9" w14:textId="0741F4FE" w:rsidR="00A95D4A" w:rsidRDefault="00A95D4A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>
        <w:rPr>
          <w:rFonts w:ascii="Times New Roman" w:hAnsi="Times New Roman" w:cs="Times New Roman"/>
          <w:color w:val="4F81BD" w:themeColor="accent1"/>
          <w:lang w:val="pt-BR"/>
        </w:rPr>
        <w:t>Nota: veja marcação na seção 4.4</w:t>
      </w:r>
    </w:p>
    <w:tbl>
      <w:tblPr>
        <w:tblStyle w:val="Tabelacomgrade"/>
        <w:tblW w:w="8859" w:type="dxa"/>
        <w:tblInd w:w="38" w:type="dxa"/>
        <w:tblLook w:val="04A0" w:firstRow="1" w:lastRow="0" w:firstColumn="1" w:lastColumn="0" w:noHBand="0" w:noVBand="1"/>
      </w:tblPr>
      <w:tblGrid>
        <w:gridCol w:w="2055"/>
        <w:gridCol w:w="2592"/>
        <w:gridCol w:w="2227"/>
        <w:gridCol w:w="1985"/>
      </w:tblGrid>
      <w:tr w:rsidR="00A95D4A" w14:paraId="17404206" w14:textId="77777777" w:rsidTr="00A95D4A">
        <w:trPr>
          <w:trHeight w:val="279"/>
        </w:trPr>
        <w:tc>
          <w:tcPr>
            <w:tcW w:w="2055" w:type="dxa"/>
            <w:vMerge w:val="restart"/>
            <w:shd w:val="clear" w:color="auto" w:fill="D9D9D9" w:themeFill="background1" w:themeFillShade="D9"/>
            <w:vAlign w:val="center"/>
          </w:tcPr>
          <w:p w14:paraId="2F08254E" w14:textId="041EB00D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 xml:space="preserve">Classificação </w:t>
            </w:r>
          </w:p>
        </w:tc>
        <w:tc>
          <w:tcPr>
            <w:tcW w:w="2592" w:type="dxa"/>
            <w:vMerge w:val="restart"/>
            <w:shd w:val="clear" w:color="auto" w:fill="D9D9D9" w:themeFill="background1" w:themeFillShade="D9"/>
            <w:vAlign w:val="center"/>
          </w:tcPr>
          <w:p w14:paraId="668BFCAC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Atividade</w:t>
            </w:r>
          </w:p>
        </w:tc>
        <w:tc>
          <w:tcPr>
            <w:tcW w:w="4212" w:type="dxa"/>
            <w:gridSpan w:val="2"/>
            <w:shd w:val="clear" w:color="auto" w:fill="D9D9D9" w:themeFill="background1" w:themeFillShade="D9"/>
            <w:vAlign w:val="center"/>
          </w:tcPr>
          <w:p w14:paraId="23693C6F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A95D4A" w14:paraId="34E8A7AF" w14:textId="77777777" w:rsidTr="00A95D4A">
        <w:trPr>
          <w:trHeight w:val="318"/>
        </w:trPr>
        <w:tc>
          <w:tcPr>
            <w:tcW w:w="2055" w:type="dxa"/>
            <w:vMerge/>
            <w:shd w:val="clear" w:color="auto" w:fill="D9D9D9" w:themeFill="background1" w:themeFillShade="D9"/>
          </w:tcPr>
          <w:p w14:paraId="635C4CD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592" w:type="dxa"/>
            <w:vMerge/>
            <w:shd w:val="clear" w:color="auto" w:fill="D9D9D9" w:themeFill="background1" w:themeFillShade="D9"/>
            <w:vAlign w:val="center"/>
          </w:tcPr>
          <w:p w14:paraId="66FBC3CB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</w:p>
        </w:tc>
        <w:tc>
          <w:tcPr>
            <w:tcW w:w="2227" w:type="dxa"/>
            <w:shd w:val="clear" w:color="auto" w:fill="D9D9D9" w:themeFill="background1" w:themeFillShade="D9"/>
            <w:vAlign w:val="center"/>
          </w:tcPr>
          <w:p w14:paraId="639322BA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EA82D90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A95D4A" w:rsidRPr="004F34C4" w14:paraId="1595EA2F" w14:textId="77777777" w:rsidTr="00A95D4A">
        <w:trPr>
          <w:trHeight w:val="318"/>
        </w:trPr>
        <w:tc>
          <w:tcPr>
            <w:tcW w:w="2055" w:type="dxa"/>
            <w:vMerge w:val="restart"/>
            <w:vAlign w:val="center"/>
          </w:tcPr>
          <w:p w14:paraId="2933FB6B" w14:textId="7807076C" w:rsidR="00A95D4A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Grau B</w:t>
            </w:r>
          </w:p>
        </w:tc>
        <w:tc>
          <w:tcPr>
            <w:tcW w:w="2592" w:type="dxa"/>
          </w:tcPr>
          <w:p w14:paraId="4A410233" w14:textId="7315EEBD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2227" w:type="dxa"/>
            <w:vAlign w:val="center"/>
          </w:tcPr>
          <w:p w14:paraId="3AFE3F8F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46D93368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24FFC285" w14:textId="77777777" w:rsidTr="00A95D4A">
        <w:trPr>
          <w:trHeight w:val="318"/>
        </w:trPr>
        <w:tc>
          <w:tcPr>
            <w:tcW w:w="2055" w:type="dxa"/>
            <w:vMerge/>
          </w:tcPr>
          <w:p w14:paraId="199EE8DE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0058430D" w14:textId="5EF2903E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2227" w:type="dxa"/>
            <w:vAlign w:val="center"/>
          </w:tcPr>
          <w:p w14:paraId="5510F841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0710A7BD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2B6F2EB2" w14:textId="77777777" w:rsidTr="00A95D4A">
        <w:trPr>
          <w:trHeight w:val="318"/>
        </w:trPr>
        <w:tc>
          <w:tcPr>
            <w:tcW w:w="2055" w:type="dxa"/>
            <w:vMerge/>
          </w:tcPr>
          <w:p w14:paraId="704A6EFC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7290B853" w14:textId="0C461823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</w:t>
            </w:r>
          </w:p>
        </w:tc>
        <w:tc>
          <w:tcPr>
            <w:tcW w:w="2227" w:type="dxa"/>
            <w:vAlign w:val="center"/>
          </w:tcPr>
          <w:p w14:paraId="34FC45F5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4D14A0F1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09DCC0CB" w14:textId="77777777" w:rsidTr="00A95D4A">
        <w:trPr>
          <w:trHeight w:val="318"/>
        </w:trPr>
        <w:tc>
          <w:tcPr>
            <w:tcW w:w="2055" w:type="dxa"/>
            <w:vMerge w:val="restart"/>
            <w:vAlign w:val="center"/>
          </w:tcPr>
          <w:p w14:paraId="53796263" w14:textId="78010308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Grau C</w:t>
            </w:r>
          </w:p>
        </w:tc>
        <w:tc>
          <w:tcPr>
            <w:tcW w:w="2592" w:type="dxa"/>
          </w:tcPr>
          <w:p w14:paraId="72C03F9C" w14:textId="793DFBAA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2227" w:type="dxa"/>
            <w:vAlign w:val="center"/>
          </w:tcPr>
          <w:p w14:paraId="54554718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669554A2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F896774" w14:textId="77777777" w:rsidTr="00A95D4A">
        <w:trPr>
          <w:trHeight w:val="318"/>
        </w:trPr>
        <w:tc>
          <w:tcPr>
            <w:tcW w:w="2055" w:type="dxa"/>
            <w:vMerge/>
          </w:tcPr>
          <w:p w14:paraId="57DCA5D8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46D33718" w14:textId="59ECB40C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2227" w:type="dxa"/>
            <w:vAlign w:val="center"/>
          </w:tcPr>
          <w:p w14:paraId="2FF57594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76AC6AC8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42605FBA" w14:textId="77777777" w:rsidTr="00A95D4A">
        <w:trPr>
          <w:trHeight w:val="318"/>
        </w:trPr>
        <w:tc>
          <w:tcPr>
            <w:tcW w:w="2055" w:type="dxa"/>
            <w:vMerge/>
          </w:tcPr>
          <w:p w14:paraId="2D614DEE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08F75D62" w14:textId="68C423F9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</w:t>
            </w:r>
          </w:p>
        </w:tc>
        <w:tc>
          <w:tcPr>
            <w:tcW w:w="2227" w:type="dxa"/>
            <w:vAlign w:val="center"/>
          </w:tcPr>
          <w:p w14:paraId="14C63BBE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13EE91E9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56A8F8BF" w14:textId="77777777" w:rsidTr="00A95D4A">
        <w:trPr>
          <w:trHeight w:val="318"/>
        </w:trPr>
        <w:tc>
          <w:tcPr>
            <w:tcW w:w="2055" w:type="dxa"/>
            <w:vMerge w:val="restart"/>
            <w:vAlign w:val="center"/>
          </w:tcPr>
          <w:p w14:paraId="27AA2B26" w14:textId="647F4086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Grau D</w:t>
            </w:r>
          </w:p>
        </w:tc>
        <w:tc>
          <w:tcPr>
            <w:tcW w:w="2592" w:type="dxa"/>
          </w:tcPr>
          <w:p w14:paraId="464612F7" w14:textId="4AF7C502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AR</w:t>
            </w:r>
          </w:p>
        </w:tc>
        <w:tc>
          <w:tcPr>
            <w:tcW w:w="2227" w:type="dxa"/>
            <w:vAlign w:val="center"/>
          </w:tcPr>
          <w:p w14:paraId="0952767C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3B9823FA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608022E7" w14:textId="77777777" w:rsidTr="00A95D4A">
        <w:trPr>
          <w:trHeight w:val="318"/>
        </w:trPr>
        <w:tc>
          <w:tcPr>
            <w:tcW w:w="2055" w:type="dxa"/>
            <w:vMerge/>
          </w:tcPr>
          <w:p w14:paraId="768E0552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416F118D" w14:textId="1E4DCD13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POP Monitoramento</w:t>
            </w:r>
          </w:p>
        </w:tc>
        <w:tc>
          <w:tcPr>
            <w:tcW w:w="2227" w:type="dxa"/>
            <w:vAlign w:val="center"/>
          </w:tcPr>
          <w:p w14:paraId="5D012450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0FDB05F4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4F34C4" w14:paraId="01007478" w14:textId="77777777" w:rsidTr="00A95D4A">
        <w:trPr>
          <w:trHeight w:val="318"/>
        </w:trPr>
        <w:tc>
          <w:tcPr>
            <w:tcW w:w="2055" w:type="dxa"/>
            <w:vMerge/>
          </w:tcPr>
          <w:p w14:paraId="43FA6350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2592" w:type="dxa"/>
          </w:tcPr>
          <w:p w14:paraId="77C0BA7E" w14:textId="29C1023C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>Relatório</w:t>
            </w:r>
          </w:p>
        </w:tc>
        <w:tc>
          <w:tcPr>
            <w:tcW w:w="2227" w:type="dxa"/>
            <w:vAlign w:val="center"/>
          </w:tcPr>
          <w:p w14:paraId="37BF6A16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85" w:type="dxa"/>
          </w:tcPr>
          <w:p w14:paraId="4555A0A3" w14:textId="77777777" w:rsidR="00A95D4A" w:rsidRPr="004F34C4" w:rsidRDefault="00A95D4A" w:rsidP="00A95D4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632227D1" w14:textId="77777777" w:rsidR="00A95D4A" w:rsidRDefault="00A95D4A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5FEE6358" w14:textId="77777777" w:rsidR="00A95D4A" w:rsidRPr="00A95D4A" w:rsidRDefault="00A95D4A" w:rsidP="00A95D4A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A95D4A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15. Prevenção – análise de tendência, investigação, ações corretivas e preventivas (CAPA), determinação da causa raiz e necessidade de ferramentas investigativas mais abrangentes</w:t>
      </w:r>
    </w:p>
    <w:p w14:paraId="57660082" w14:textId="77777777" w:rsidR="00A95D4A" w:rsidRPr="00A95D4A" w:rsidRDefault="00A95D4A" w:rsidP="00A95D4A">
      <w:pPr>
        <w:jc w:val="both"/>
        <w:rPr>
          <w:rFonts w:ascii="Arial" w:hAnsi="Arial" w:cs="Arial"/>
          <w:lang w:val="pt-BR"/>
        </w:rPr>
      </w:pPr>
      <w:r w:rsidRPr="00A95D4A">
        <w:rPr>
          <w:rFonts w:ascii="Arial" w:hAnsi="Arial" w:cs="Arial"/>
          <w:lang w:val="pt-BR"/>
        </w:rPr>
        <w:lastRenderedPageBreak/>
        <w:t>Fazer referência ao documento que descreve os requisitos para uma investigação eficaz, os sistemas de gestão da qualidade e o documento que descreve o processo de desvios e o CAPA, incluindo documentos que acompanham e analisam a recorrência e a eficácia das ações CAPA.</w:t>
      </w:r>
    </w:p>
    <w:p w14:paraId="7F2E5763" w14:textId="77777777" w:rsidR="00A95D4A" w:rsidRPr="00A95D4A" w:rsidRDefault="00A95D4A" w:rsidP="00A95D4A">
      <w:pPr>
        <w:jc w:val="both"/>
        <w:rPr>
          <w:rFonts w:ascii="Arial" w:hAnsi="Arial" w:cs="Arial"/>
          <w:lang w:val="pt-BR"/>
        </w:rPr>
      </w:pPr>
      <w:r w:rsidRPr="00A95D4A">
        <w:rPr>
          <w:rFonts w:ascii="Arial" w:hAnsi="Arial" w:cs="Arial"/>
          <w:lang w:val="pt-BR"/>
        </w:rPr>
        <w:t>Descrever o procedimento estabelecido para tratar desvios recorrentes, a fim de garantir condições adequadas de controle de contaminação.</w:t>
      </w:r>
    </w:p>
    <w:tbl>
      <w:tblPr>
        <w:tblStyle w:val="Tabelacomgrade"/>
        <w:tblW w:w="0" w:type="auto"/>
        <w:tblInd w:w="38" w:type="dxa"/>
        <w:tblLook w:val="04A0" w:firstRow="1" w:lastRow="0" w:firstColumn="1" w:lastColumn="0" w:noHBand="0" w:noVBand="1"/>
      </w:tblPr>
      <w:tblGrid>
        <w:gridCol w:w="3932"/>
        <w:gridCol w:w="2754"/>
        <w:gridCol w:w="1906"/>
      </w:tblGrid>
      <w:tr w:rsidR="00A95D4A" w14:paraId="53191994" w14:textId="77777777" w:rsidTr="000E5F33">
        <w:trPr>
          <w:trHeight w:val="279"/>
        </w:trPr>
        <w:tc>
          <w:tcPr>
            <w:tcW w:w="4039" w:type="dxa"/>
            <w:vMerge w:val="restart"/>
            <w:shd w:val="clear" w:color="auto" w:fill="D9D9D9" w:themeFill="background1" w:themeFillShade="D9"/>
            <w:vAlign w:val="center"/>
          </w:tcPr>
          <w:p w14:paraId="19003F61" w14:textId="77777777" w:rsidR="00A95D4A" w:rsidRPr="0068039B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Descrição</w:t>
            </w:r>
          </w:p>
        </w:tc>
        <w:tc>
          <w:tcPr>
            <w:tcW w:w="4779" w:type="dxa"/>
            <w:gridSpan w:val="2"/>
            <w:shd w:val="clear" w:color="auto" w:fill="D9D9D9" w:themeFill="background1" w:themeFillShade="D9"/>
            <w:vAlign w:val="center"/>
          </w:tcPr>
          <w:p w14:paraId="398C36A5" w14:textId="77777777" w:rsidR="00A95D4A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Documento de referência</w:t>
            </w:r>
          </w:p>
        </w:tc>
      </w:tr>
      <w:tr w:rsidR="00A95D4A" w14:paraId="1AFDAECC" w14:textId="77777777" w:rsidTr="000E5F33">
        <w:trPr>
          <w:trHeight w:val="318"/>
        </w:trPr>
        <w:tc>
          <w:tcPr>
            <w:tcW w:w="4039" w:type="dxa"/>
            <w:vMerge/>
            <w:vAlign w:val="center"/>
          </w:tcPr>
          <w:p w14:paraId="04F7211B" w14:textId="77777777" w:rsidR="00A95D4A" w:rsidRPr="0068039B" w:rsidRDefault="00A95D4A" w:rsidP="000E5F33">
            <w:pPr>
              <w:jc w:val="center"/>
              <w:rPr>
                <w:rFonts w:ascii="Arial" w:hAnsi="Arial" w:cs="Arial"/>
                <w:color w:val="000000" w:themeColor="text1"/>
                <w:lang w:val="pt-BR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7BDB039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Título</w:t>
            </w:r>
          </w:p>
        </w:tc>
        <w:tc>
          <w:tcPr>
            <w:tcW w:w="1944" w:type="dxa"/>
            <w:shd w:val="clear" w:color="auto" w:fill="D9D9D9" w:themeFill="background1" w:themeFillShade="D9"/>
            <w:vAlign w:val="center"/>
          </w:tcPr>
          <w:p w14:paraId="631E430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</w:pPr>
            <w:r w:rsidRPr="004F34C4">
              <w:rPr>
                <w:rFonts w:ascii="Times New Roman" w:hAnsi="Times New Roman" w:cs="Times New Roman"/>
                <w:b/>
                <w:bCs/>
                <w:color w:val="000000" w:themeColor="text1"/>
                <w:lang w:val="pt-BR"/>
              </w:rPr>
              <w:t>Número</w:t>
            </w:r>
          </w:p>
        </w:tc>
      </w:tr>
      <w:tr w:rsidR="00A95D4A" w:rsidRPr="00F80960" w14:paraId="3C35E282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1278062" w14:textId="70AA11E1" w:rsidR="00A95D4A" w:rsidRPr="00A95D4A" w:rsidRDefault="00A95D4A" w:rsidP="00A95D4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4F81BD" w:themeColor="accent1"/>
                <w:lang w:val="pt-BR"/>
              </w:rPr>
            </w:pP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Os incidentes e desvios são gerenciados por meio de:</w:t>
            </w:r>
          </w:p>
        </w:tc>
        <w:tc>
          <w:tcPr>
            <w:tcW w:w="2835" w:type="dxa"/>
            <w:vAlign w:val="center"/>
          </w:tcPr>
          <w:p w14:paraId="3374F2E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2896CCA7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F80960" w14:paraId="0641959C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7A3F65C5" w14:textId="708BBA81" w:rsidR="00A95D4A" w:rsidRPr="00A95D4A" w:rsidRDefault="00A95D4A" w:rsidP="00A95D4A">
            <w:pPr>
              <w:jc w:val="center"/>
              <w:rPr>
                <w:rFonts w:ascii="Times New Roman" w:hAnsi="Times New Roman" w:cs="Times New Roman"/>
                <w:color w:val="4F81BD" w:themeColor="accent1"/>
                <w:lang w:val="pt-BR"/>
              </w:rPr>
            </w:pP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A investigação de incidentes e desvios (análise de causas-raiz) é descrita no POP:</w:t>
            </w:r>
          </w:p>
        </w:tc>
        <w:tc>
          <w:tcPr>
            <w:tcW w:w="2835" w:type="dxa"/>
            <w:vAlign w:val="center"/>
          </w:tcPr>
          <w:p w14:paraId="6D3040E2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6F3603ED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  <w:tr w:rsidR="00A95D4A" w:rsidRPr="00F80960" w14:paraId="750C73B8" w14:textId="77777777" w:rsidTr="000E5F33">
        <w:trPr>
          <w:trHeight w:val="318"/>
        </w:trPr>
        <w:tc>
          <w:tcPr>
            <w:tcW w:w="4039" w:type="dxa"/>
            <w:vAlign w:val="center"/>
          </w:tcPr>
          <w:p w14:paraId="1D15348D" w14:textId="11170DEA" w:rsidR="00A95D4A" w:rsidRPr="00A95D4A" w:rsidRDefault="00A95D4A" w:rsidP="00A95D4A">
            <w:pPr>
              <w:jc w:val="center"/>
              <w:rPr>
                <w:rFonts w:ascii="Times New Roman" w:hAnsi="Times New Roman" w:cs="Times New Roman"/>
                <w:color w:val="4F81BD" w:themeColor="accent1"/>
                <w:lang w:val="pt-BR"/>
              </w:rPr>
            </w:pP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As ações corretivas e preventivas (</w:t>
            </w:r>
            <w:r w:rsidRPr="00A95D4A">
              <w:rPr>
                <w:rFonts w:ascii="Times New Roman" w:hAnsi="Times New Roman" w:cs="Times New Roman"/>
                <w:b/>
                <w:bCs/>
                <w:color w:val="4F81BD" w:themeColor="accent1"/>
                <w:lang w:val="pt-BR"/>
              </w:rPr>
              <w:t>CAPAs</w:t>
            </w:r>
            <w:r w:rsidRPr="00A95D4A">
              <w:rPr>
                <w:rFonts w:ascii="Times New Roman" w:hAnsi="Times New Roman" w:cs="Times New Roman"/>
                <w:color w:val="4F81BD" w:themeColor="accent1"/>
                <w:lang w:val="pt-BR"/>
              </w:rPr>
              <w:t>) são gerenciadas de acordo com:</w:t>
            </w:r>
          </w:p>
        </w:tc>
        <w:tc>
          <w:tcPr>
            <w:tcW w:w="2835" w:type="dxa"/>
            <w:vAlign w:val="center"/>
          </w:tcPr>
          <w:p w14:paraId="518DC583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  <w:tc>
          <w:tcPr>
            <w:tcW w:w="1944" w:type="dxa"/>
          </w:tcPr>
          <w:p w14:paraId="46DF0696" w14:textId="77777777" w:rsidR="00A95D4A" w:rsidRPr="004F34C4" w:rsidRDefault="00A95D4A" w:rsidP="000E5F3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</w:p>
        </w:tc>
      </w:tr>
    </w:tbl>
    <w:p w14:paraId="702C03A0" w14:textId="77777777" w:rsidR="00A95D4A" w:rsidRDefault="00A95D4A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5B873F15" w14:textId="77777777" w:rsidR="00553018" w:rsidRPr="00553018" w:rsidRDefault="00553018" w:rsidP="0055301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5301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16. Melhoria Contínua com base nas informações derivadas das seções anteriores</w:t>
      </w:r>
    </w:p>
    <w:p w14:paraId="6E8BE4A3" w14:textId="77777777" w:rsidR="00553018" w:rsidRPr="00553018" w:rsidRDefault="00553018" w:rsidP="0055301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Resumir os processos e procedimentos para 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melhoria contínua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 e incluir o documento sujeito a atualizações periódicas:</w:t>
      </w:r>
    </w:p>
    <w:p w14:paraId="07CF4385" w14:textId="77777777" w:rsidR="00553018" w:rsidRPr="00553018" w:rsidRDefault="00553018" w:rsidP="00553018">
      <w:pPr>
        <w:numPr>
          <w:ilvl w:val="0"/>
          <w:numId w:val="22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>Preparação de relatórios (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frequência!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>), por exemplo, relatórios gerenciais ou PQRs</w:t>
      </w:r>
    </w:p>
    <w:p w14:paraId="355DF3FF" w14:textId="77777777" w:rsidR="00553018" w:rsidRPr="00553018" w:rsidRDefault="00553018" w:rsidP="00553018">
      <w:pPr>
        <w:numPr>
          <w:ilvl w:val="0"/>
          <w:numId w:val="22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Avaliação de incidentes e desvios e das respectivas 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CAPAs</w:t>
      </w:r>
    </w:p>
    <w:p w14:paraId="70665DB1" w14:textId="77777777" w:rsidR="00553018" w:rsidRPr="00553018" w:rsidRDefault="00553018" w:rsidP="00553018">
      <w:pPr>
        <w:numPr>
          <w:ilvl w:val="0"/>
          <w:numId w:val="22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Análise de tendências de 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monitoramento ambiental (EM)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, 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revisão da qualidade do produto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>, etc.</w:t>
      </w:r>
    </w:p>
    <w:p w14:paraId="22254A43" w14:textId="77777777" w:rsidR="00553018" w:rsidRPr="00553018" w:rsidRDefault="00553018" w:rsidP="00553018">
      <w:pPr>
        <w:numPr>
          <w:ilvl w:val="0"/>
          <w:numId w:val="22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>Comunicação interna / escalonamento por meio de reuniões regulares ou extraordinárias com participantes definidos</w:t>
      </w:r>
    </w:p>
    <w:p w14:paraId="0B9EA2AB" w14:textId="77777777" w:rsidR="00553018" w:rsidRPr="00553018" w:rsidRDefault="00553018" w:rsidP="00553018">
      <w:pPr>
        <w:numPr>
          <w:ilvl w:val="0"/>
          <w:numId w:val="22"/>
        </w:num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KPIs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 (indicadores de desempenho) e sua avaliação</w:t>
      </w:r>
    </w:p>
    <w:p w14:paraId="5FD321AE" w14:textId="77777777" w:rsidR="00553018" w:rsidRPr="00553018" w:rsidRDefault="00553018" w:rsidP="00553018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Nesta seção, também devem ser fornecidas informações sobre os </w:t>
      </w:r>
      <w:r w:rsidRPr="00553018">
        <w:rPr>
          <w:rFonts w:ascii="Times New Roman" w:hAnsi="Times New Roman" w:cs="Times New Roman"/>
          <w:b/>
          <w:bCs/>
          <w:color w:val="4F81BD" w:themeColor="accent1"/>
          <w:lang w:val="pt-BR"/>
        </w:rPr>
        <w:t>gatilhos que podem levar a melhorias</w:t>
      </w:r>
      <w:r w:rsidRPr="00553018">
        <w:rPr>
          <w:rFonts w:ascii="Times New Roman" w:hAnsi="Times New Roman" w:cs="Times New Roman"/>
          <w:color w:val="4F81BD" w:themeColor="accent1"/>
          <w:lang w:val="pt-BR"/>
        </w:rPr>
        <w:t xml:space="preserve"> derivadas da revisão de dados (por exemplo, caracterização de defeitos em inspeção visual).</w:t>
      </w:r>
    </w:p>
    <w:p w14:paraId="4647A634" w14:textId="50FCE62C" w:rsidR="00A95D4A" w:rsidRDefault="00A95D4A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562A7C48" w14:textId="09C5DD6B" w:rsidR="00553018" w:rsidRPr="00553018" w:rsidRDefault="00553018" w:rsidP="00A95D4A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5301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17. Outros aspectos relevantes – por exemplo, relacionados à segurança viral</w:t>
      </w:r>
    </w:p>
    <w:p w14:paraId="50F38C47" w14:textId="77777777" w:rsidR="00553018" w:rsidRDefault="00553018" w:rsidP="00A95D4A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p w14:paraId="4C0B06B8" w14:textId="77777777" w:rsidR="00553018" w:rsidRPr="00553018" w:rsidRDefault="00553018" w:rsidP="00553018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5301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18. Referências</w:t>
      </w:r>
    </w:p>
    <w:p w14:paraId="5E0DB1AF" w14:textId="77777777" w:rsidR="00553018" w:rsidRPr="00553018" w:rsidRDefault="00553018" w:rsidP="00553018">
      <w:pPr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553018">
        <w:rPr>
          <w:rFonts w:ascii="Times New Roman" w:hAnsi="Times New Roman" w:cs="Times New Roman"/>
          <w:color w:val="000000" w:themeColor="text1"/>
          <w:lang w:val="pt-BR"/>
        </w:rPr>
        <w:lastRenderedPageBreak/>
        <w:t xml:space="preserve">Listar as referências </w:t>
      </w:r>
      <w:r w:rsidRPr="00553018">
        <w:rPr>
          <w:rFonts w:ascii="Times New Roman" w:hAnsi="Times New Roman" w:cs="Times New Roman"/>
          <w:b/>
          <w:bCs/>
          <w:color w:val="000000" w:themeColor="text1"/>
          <w:lang w:val="pt-BR"/>
        </w:rPr>
        <w:t>regulatórias, bibliográficas ou industriais</w:t>
      </w:r>
      <w:r w:rsidRPr="00553018">
        <w:rPr>
          <w:rFonts w:ascii="Times New Roman" w:hAnsi="Times New Roman" w:cs="Times New Roman"/>
          <w:color w:val="000000" w:themeColor="text1"/>
          <w:lang w:val="pt-BR"/>
        </w:rPr>
        <w:t>, conforme necessário.</w:t>
      </w:r>
    </w:p>
    <w:p w14:paraId="3FF3177B" w14:textId="423645F4" w:rsidR="00553018" w:rsidRDefault="00553018" w:rsidP="00A95D4A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53018"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  <w:t>19. Anexos</w:t>
      </w:r>
    </w:p>
    <w:p w14:paraId="0C4F3BAC" w14:textId="3AABE92B" w:rsidR="00640627" w:rsidRPr="00A95D4A" w:rsidRDefault="00640627" w:rsidP="00A95D4A">
      <w:pPr>
        <w:jc w:val="both"/>
        <w:rPr>
          <w:rFonts w:ascii="Arial" w:hAnsi="Arial" w:cs="Arial"/>
          <w:b/>
          <w:bCs/>
          <w:color w:val="4F81BD" w:themeColor="accent1"/>
          <w:sz w:val="28"/>
          <w:szCs w:val="28"/>
          <w:lang w:val="pt-BR"/>
        </w:rPr>
      </w:pPr>
      <w:r w:rsidRPr="00553018">
        <w:rPr>
          <w:rFonts w:ascii="Times New Roman" w:hAnsi="Times New Roman" w:cs="Times New Roman"/>
          <w:color w:val="000000" w:themeColor="text1"/>
          <w:lang w:val="pt-BR"/>
        </w:rPr>
        <w:t xml:space="preserve">Listar </w:t>
      </w:r>
      <w:r>
        <w:rPr>
          <w:rFonts w:ascii="Times New Roman" w:hAnsi="Times New Roman" w:cs="Times New Roman"/>
          <w:color w:val="000000" w:themeColor="text1"/>
          <w:lang w:val="pt-BR"/>
        </w:rPr>
        <w:t>os anexos referentes a este documento.</w:t>
      </w:r>
    </w:p>
    <w:p w14:paraId="5252ADBB" w14:textId="77777777" w:rsidR="00A95D4A" w:rsidRPr="00B17612" w:rsidRDefault="00A95D4A" w:rsidP="0051009B">
      <w:pPr>
        <w:jc w:val="both"/>
        <w:rPr>
          <w:rFonts w:ascii="Times New Roman" w:hAnsi="Times New Roman" w:cs="Times New Roman"/>
          <w:color w:val="4F81BD" w:themeColor="accent1"/>
          <w:lang w:val="pt-BR"/>
        </w:rPr>
      </w:pPr>
    </w:p>
    <w:sectPr w:rsidR="00A95D4A" w:rsidRPr="00B17612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421A0" w14:textId="77777777" w:rsidR="007D3C43" w:rsidRDefault="007D3C43" w:rsidP="00A6080E">
      <w:pPr>
        <w:spacing w:after="0" w:line="240" w:lineRule="auto"/>
      </w:pPr>
      <w:r>
        <w:separator/>
      </w:r>
    </w:p>
  </w:endnote>
  <w:endnote w:type="continuationSeparator" w:id="0">
    <w:p w14:paraId="56D6DA98" w14:textId="77777777" w:rsidR="007D3C43" w:rsidRDefault="007D3C43" w:rsidP="00A6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F0D5D" w14:textId="77777777" w:rsidR="00A6080E" w:rsidRDefault="00A6080E" w:rsidP="00A6080E">
    <w:pPr>
      <w:pStyle w:val="Rodap"/>
    </w:pPr>
    <w:r>
      <w:rPr>
        <w:noProof/>
        <w:lang w:bidi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7FD431F" wp14:editId="4B76A37B">
              <wp:simplePos x="0" y="0"/>
              <wp:positionH relativeFrom="page">
                <wp:align>right</wp:align>
              </wp:positionH>
              <wp:positionV relativeFrom="paragraph">
                <wp:posOffset>130890</wp:posOffset>
              </wp:positionV>
              <wp:extent cx="7747000" cy="679450"/>
              <wp:effectExtent l="0" t="0" r="25400" b="25400"/>
              <wp:wrapNone/>
              <wp:docPr id="634063061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7000" cy="67945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 w="6350">
                        <a:solidFill>
                          <a:schemeClr val="bg2"/>
                        </a:solidFill>
                      </a:ln>
                    </wps:spPr>
                    <wps:txbx>
                      <w:txbxContent>
                        <w:tbl>
                          <w:tblPr>
                            <w:tblW w:w="10206" w:type="dxa"/>
                            <w:tblInd w:w="993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3402"/>
                            <w:gridCol w:w="3402"/>
                            <w:gridCol w:w="3402"/>
                          </w:tblGrid>
                          <w:tr w:rsidR="00A6080E" w:rsidRPr="00F80960" w14:paraId="299AC895" w14:textId="77777777" w:rsidTr="00743F79"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288CF3A" w14:textId="77777777" w:rsidR="00A6080E" w:rsidRPr="00F80960" w:rsidRDefault="00A6080E" w:rsidP="00C2336F">
                                <w:pPr>
                                  <w:pStyle w:val="Contatos"/>
                                  <w:rPr>
                                    <w:rFonts w:ascii="Arial" w:hAnsi="Arial" w:cs="Arial"/>
                                    <w:color w:val="0A1938"/>
                                  </w:rPr>
                                </w:pPr>
                                <w:r w:rsidRPr="00F80960">
                                  <w:rPr>
                                    <w:rFonts w:ascii="Arial" w:hAnsi="Arial" w:cs="Arial"/>
                                    <w:color w:val="0A1938"/>
                                    <w:sz w:val="14"/>
                                    <w:szCs w:val="14"/>
                                  </w:rPr>
                                  <w:t>Este documento é um modelo informativo para auxiliar na inspiração de documentos oficiais, não devendo ser utilizado como se encontra</w:t>
                                </w:r>
                              </w:p>
                            </w:tc>
                            <w:tc>
                              <w:tcPr>
                                <w:tcW w:w="3402" w:type="dxa"/>
                              </w:tcPr>
                              <w:p w14:paraId="4582BD63" w14:textId="77777777" w:rsidR="00A6080E" w:rsidRPr="00F80960" w:rsidRDefault="00A6080E" w:rsidP="0053673F">
                                <w:pPr>
                                  <w:pStyle w:val="Contatos"/>
                                  <w:rPr>
                                    <w:rFonts w:ascii="Arial" w:hAnsi="Arial" w:cs="Arial"/>
                                    <w:color w:val="0A1938"/>
                                  </w:rPr>
                                </w:pPr>
                                <w:r w:rsidRPr="00F80960">
                                  <w:rPr>
                                    <w:rFonts w:ascii="Arial" w:hAnsi="Arial" w:cs="Arial"/>
                                    <w:color w:val="0A1938"/>
                                    <w:sz w:val="14"/>
                                    <w:szCs w:val="14"/>
                                  </w:rPr>
                                  <w:t>Para mais informações consulte o site: www.microphar.com.br</w:t>
                                </w:r>
                              </w:p>
                            </w:tc>
                            <w:tc>
                              <w:tcPr>
                                <w:tcW w:w="3402" w:type="dxa"/>
                              </w:tcPr>
                              <w:p w14:paraId="43A84639" w14:textId="77777777" w:rsidR="00A6080E" w:rsidRPr="00F80960" w:rsidRDefault="00A6080E" w:rsidP="0053673F">
                                <w:pPr>
                                  <w:pStyle w:val="Contatos"/>
                                  <w:rPr>
                                    <w:rFonts w:ascii="Arial" w:hAnsi="Arial" w:cs="Arial"/>
                                    <w:color w:val="0A1938"/>
                                  </w:rPr>
                                </w:pPr>
                                <w:r w:rsidRPr="00F80960">
                                  <w:rPr>
                                    <w:rFonts w:ascii="Arial" w:hAnsi="Arial" w:cs="Arial"/>
                                    <w:color w:val="0A1938"/>
                                    <w:sz w:val="14"/>
                                    <w:szCs w:val="14"/>
                                  </w:rPr>
                                  <w:t>Quer falar com um especialista da área? Escreva para: comercial@microphar.com</w:t>
                                </w:r>
                              </w:p>
                            </w:tc>
                          </w:tr>
                        </w:tbl>
                        <w:p w14:paraId="320DC7BC" w14:textId="77777777" w:rsidR="00A6080E" w:rsidRPr="00A6080E" w:rsidRDefault="00A6080E" w:rsidP="00A6080E">
                          <w:pPr>
                            <w:rPr>
                              <w:color w:val="0A1938"/>
                              <w:lang w:val="pt-B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D431F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7" type="#_x0000_t202" style="position:absolute;margin-left:558.8pt;margin-top:10.3pt;width:610pt;height:53.5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" fillcolor="#f2f2f2 [3052]" strokecolor="#eeece1 [3214]" strokeweight=".5pt">
              <v:textbox>
                <w:txbxContent>
                  <w:tbl>
                    <w:tblPr>
                      <w:tblW w:w="10206" w:type="dxa"/>
                      <w:tblInd w:w="993" w:type="dxa"/>
                      <w:tblLook w:val="04A0" w:firstRow="1" w:lastRow="0" w:firstColumn="1" w:lastColumn="0" w:noHBand="0" w:noVBand="1"/>
                    </w:tblPr>
                    <w:tblGrid>
                      <w:gridCol w:w="3402"/>
                      <w:gridCol w:w="3402"/>
                      <w:gridCol w:w="3402"/>
                    </w:tblGrid>
                    <w:tr w:rsidR="00A6080E" w:rsidRPr="00F80960" w14:paraId="299AC895" w14:textId="77777777" w:rsidTr="00743F79">
                      <w:tc>
                        <w:tcPr>
                          <w:tcW w:w="3402" w:type="dxa"/>
                          <w:vAlign w:val="center"/>
                        </w:tcPr>
                        <w:p w14:paraId="3288CF3A" w14:textId="77777777" w:rsidR="00A6080E" w:rsidRPr="00F80960" w:rsidRDefault="00A6080E" w:rsidP="00C2336F">
                          <w:pPr>
                            <w:pStyle w:val="Contatos"/>
                            <w:rPr>
                              <w:rFonts w:ascii="Arial" w:hAnsi="Arial" w:cs="Arial"/>
                              <w:color w:val="0A1938"/>
                            </w:rPr>
                          </w:pPr>
                          <w:r w:rsidRPr="00F80960">
                            <w:rPr>
                              <w:rFonts w:ascii="Arial" w:hAnsi="Arial" w:cs="Arial"/>
                              <w:color w:val="0A1938"/>
                              <w:sz w:val="14"/>
                              <w:szCs w:val="14"/>
                            </w:rPr>
                            <w:t>Este documento é um modelo informativo para auxiliar na inspiração de documentos oficiais, não devendo ser utilizado como se encontra</w:t>
                          </w:r>
                        </w:p>
                      </w:tc>
                      <w:tc>
                        <w:tcPr>
                          <w:tcW w:w="3402" w:type="dxa"/>
                        </w:tcPr>
                        <w:p w14:paraId="4582BD63" w14:textId="77777777" w:rsidR="00A6080E" w:rsidRPr="00F80960" w:rsidRDefault="00A6080E" w:rsidP="0053673F">
                          <w:pPr>
                            <w:pStyle w:val="Contatos"/>
                            <w:rPr>
                              <w:rFonts w:ascii="Arial" w:hAnsi="Arial" w:cs="Arial"/>
                              <w:color w:val="0A1938"/>
                            </w:rPr>
                          </w:pPr>
                          <w:r w:rsidRPr="00F80960">
                            <w:rPr>
                              <w:rFonts w:ascii="Arial" w:hAnsi="Arial" w:cs="Arial"/>
                              <w:color w:val="0A1938"/>
                              <w:sz w:val="14"/>
                              <w:szCs w:val="14"/>
                            </w:rPr>
                            <w:t>Para mais informações consulte o site: www.microphar.com.br</w:t>
                          </w:r>
                        </w:p>
                      </w:tc>
                      <w:tc>
                        <w:tcPr>
                          <w:tcW w:w="3402" w:type="dxa"/>
                        </w:tcPr>
                        <w:p w14:paraId="43A84639" w14:textId="77777777" w:rsidR="00A6080E" w:rsidRPr="00F80960" w:rsidRDefault="00A6080E" w:rsidP="0053673F">
                          <w:pPr>
                            <w:pStyle w:val="Contatos"/>
                            <w:rPr>
                              <w:rFonts w:ascii="Arial" w:hAnsi="Arial" w:cs="Arial"/>
                              <w:color w:val="0A1938"/>
                            </w:rPr>
                          </w:pPr>
                          <w:r w:rsidRPr="00F80960">
                            <w:rPr>
                              <w:rFonts w:ascii="Arial" w:hAnsi="Arial" w:cs="Arial"/>
                              <w:color w:val="0A1938"/>
                              <w:sz w:val="14"/>
                              <w:szCs w:val="14"/>
                            </w:rPr>
                            <w:t>Quer falar com um especialista da área? Escreva para: comercial@microphar.com</w:t>
                          </w:r>
                        </w:p>
                      </w:tc>
                    </w:tr>
                  </w:tbl>
                  <w:p w14:paraId="320DC7BC" w14:textId="77777777" w:rsidR="00A6080E" w:rsidRPr="00A6080E" w:rsidRDefault="00A6080E" w:rsidP="00A6080E">
                    <w:pPr>
                      <w:rPr>
                        <w:color w:val="0A1938"/>
                        <w:lang w:val="pt-BR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2860A2EC" w14:textId="77777777" w:rsidR="00A6080E" w:rsidRDefault="00A6080E" w:rsidP="00A6080E">
    <w:pPr>
      <w:pStyle w:val="Rodap"/>
    </w:pPr>
  </w:p>
  <w:p w14:paraId="1E56EE36" w14:textId="77777777" w:rsidR="00A6080E" w:rsidRPr="001971CC" w:rsidRDefault="00A6080E" w:rsidP="00A6080E">
    <w:pPr>
      <w:pStyle w:val="Rodap"/>
    </w:pPr>
  </w:p>
  <w:p w14:paraId="78F691EB" w14:textId="77777777" w:rsidR="00A6080E" w:rsidRDefault="00A608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0B431" w14:textId="77777777" w:rsidR="007D3C43" w:rsidRDefault="007D3C43" w:rsidP="00A6080E">
      <w:pPr>
        <w:spacing w:after="0" w:line="240" w:lineRule="auto"/>
      </w:pPr>
      <w:r>
        <w:separator/>
      </w:r>
    </w:p>
  </w:footnote>
  <w:footnote w:type="continuationSeparator" w:id="0">
    <w:p w14:paraId="59BCDD36" w14:textId="77777777" w:rsidR="007D3C43" w:rsidRDefault="007D3C43" w:rsidP="00A6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000CF" w14:textId="77777777" w:rsidR="00A6080E" w:rsidRDefault="00A6080E" w:rsidP="00A6080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47146" wp14:editId="2661D7C9">
              <wp:simplePos x="0" y="0"/>
              <wp:positionH relativeFrom="page">
                <wp:posOffset>6350</wp:posOffset>
              </wp:positionH>
              <wp:positionV relativeFrom="paragraph">
                <wp:posOffset>-450850</wp:posOffset>
              </wp:positionV>
              <wp:extent cx="7899400" cy="913982"/>
              <wp:effectExtent l="0" t="0" r="25400" b="19685"/>
              <wp:wrapNone/>
              <wp:docPr id="120614337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99400" cy="913982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solidFill>
                          <a:schemeClr val="bg2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DC7390" id="Retângulo 6" o:spid="_x0000_s1026" style="position:absolute;margin-left:.5pt;margin-top:-35.5pt;width:622pt;height:71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" fillcolor="#f2f2f2 [3052]" strokecolor="#eeece1 [3214]" strokeweight="2pt">
              <w10:wrap anchorx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1" allowOverlap="1" wp14:anchorId="5A603960" wp14:editId="3885F935">
          <wp:simplePos x="0" y="0"/>
          <wp:positionH relativeFrom="column">
            <wp:posOffset>-253365</wp:posOffset>
          </wp:positionH>
          <wp:positionV relativeFrom="paragraph">
            <wp:posOffset>-239395</wp:posOffset>
          </wp:positionV>
          <wp:extent cx="501650" cy="502470"/>
          <wp:effectExtent l="0" t="0" r="0" b="0"/>
          <wp:wrapNone/>
          <wp:docPr id="441521302" name="Imagem 24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521302" name="Imagem 24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1650" cy="50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B63E39" wp14:editId="187DCDA0">
              <wp:simplePos x="0" y="0"/>
              <wp:positionH relativeFrom="column">
                <wp:posOffset>311150</wp:posOffset>
              </wp:positionH>
              <wp:positionV relativeFrom="paragraph">
                <wp:posOffset>-284480</wp:posOffset>
              </wp:positionV>
              <wp:extent cx="3962400" cy="666750"/>
              <wp:effectExtent l="0" t="0" r="0" b="0"/>
              <wp:wrapNone/>
              <wp:docPr id="163731449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62400" cy="6667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0428546" w14:textId="44CC66CF" w:rsidR="00A6080E" w:rsidRPr="00A6080E" w:rsidRDefault="00A6080E" w:rsidP="00A6080E">
                          <w:pPr>
                            <w:spacing w:after="0"/>
                            <w:jc w:val="both"/>
                            <w:rPr>
                              <w:rFonts w:ascii="Franklin Gothic Book" w:hAnsi="Franklin Gothic Book"/>
                              <w:lang w:val="pt-BR"/>
                            </w:rPr>
                          </w:pPr>
                          <w:r w:rsidRPr="00A6080E">
                            <w:rPr>
                              <w:rFonts w:ascii="Franklin Gothic Book" w:hAnsi="Franklin Gothic Book"/>
                              <w:b/>
                              <w:bCs/>
                              <w:color w:val="0A1938"/>
                              <w:lang w:val="pt-BR"/>
                            </w:rPr>
                            <w:t>Procedimento:</w:t>
                          </w:r>
                          <w:r w:rsidRPr="00A6080E">
                            <w:rPr>
                              <w:rFonts w:ascii="Franklin Gothic Book" w:hAnsi="Franklin Gothic Book"/>
                              <w:color w:val="A7848B"/>
                              <w:lang w:val="pt-BR"/>
                            </w:rPr>
                            <w:t xml:space="preserve"> </w:t>
                          </w:r>
                          <w:r w:rsidRPr="00A6080E">
                            <w:rPr>
                              <w:rFonts w:ascii="Franklin Gothic Book" w:hAnsi="Franklin Gothic Book"/>
                              <w:color w:val="4F81BD" w:themeColor="accent1"/>
                              <w:lang w:val="pt-BR"/>
                            </w:rPr>
                            <w:t>MB-0012</w:t>
                          </w:r>
                          <w:r>
                            <w:rPr>
                              <w:rFonts w:ascii="Franklin Gothic Book" w:hAnsi="Franklin Gothic Book"/>
                              <w:color w:val="4F81BD" w:themeColor="accent1"/>
                              <w:lang w:val="pt-BR"/>
                            </w:rPr>
                            <w:t>4</w:t>
                          </w:r>
                        </w:p>
                        <w:p w14:paraId="62FF88DF" w14:textId="77777777" w:rsidR="00A6080E" w:rsidRPr="00A6080E" w:rsidRDefault="00A6080E" w:rsidP="00A6080E">
                          <w:pPr>
                            <w:spacing w:after="0"/>
                            <w:jc w:val="both"/>
                            <w:rPr>
                              <w:rFonts w:ascii="Franklin Gothic Book" w:hAnsi="Franklin Gothic Book"/>
                              <w:lang w:val="pt-BR"/>
                            </w:rPr>
                          </w:pPr>
                          <w:r w:rsidRPr="00A6080E">
                            <w:rPr>
                              <w:rFonts w:ascii="Franklin Gothic Book" w:hAnsi="Franklin Gothic Book"/>
                              <w:b/>
                              <w:bCs/>
                              <w:color w:val="0A1938"/>
                              <w:lang w:val="pt-BR"/>
                            </w:rPr>
                            <w:t>Versão:</w:t>
                          </w:r>
                          <w:r w:rsidRPr="00A6080E">
                            <w:rPr>
                              <w:rFonts w:ascii="Franklin Gothic Book" w:hAnsi="Franklin Gothic Book"/>
                              <w:color w:val="0A1938"/>
                              <w:lang w:val="pt-BR"/>
                            </w:rPr>
                            <w:t xml:space="preserve"> </w:t>
                          </w:r>
                          <w:r w:rsidRPr="00A6080E">
                            <w:rPr>
                              <w:rFonts w:ascii="Franklin Gothic Book" w:hAnsi="Franklin Gothic Book"/>
                              <w:color w:val="4F81BD" w:themeColor="accent1"/>
                              <w:lang w:val="pt-BR"/>
                            </w:rPr>
                            <w:t>1.0</w:t>
                          </w:r>
                        </w:p>
                        <w:p w14:paraId="0032C6EE" w14:textId="77777777" w:rsidR="00A6080E" w:rsidRPr="00A6080E" w:rsidRDefault="00A6080E" w:rsidP="00A6080E">
                          <w:pPr>
                            <w:spacing w:after="0"/>
                            <w:jc w:val="both"/>
                            <w:rPr>
                              <w:rFonts w:ascii="Franklin Gothic Book" w:hAnsi="Franklin Gothic Book"/>
                              <w:lang w:val="pt-BR"/>
                            </w:rPr>
                          </w:pPr>
                          <w:r w:rsidRPr="00A6080E">
                            <w:rPr>
                              <w:rFonts w:ascii="Franklin Gothic Book" w:hAnsi="Franklin Gothic Book"/>
                              <w:b/>
                              <w:bCs/>
                              <w:color w:val="0A1938"/>
                              <w:lang w:val="pt-BR"/>
                            </w:rPr>
                            <w:t>Data da vigência:</w:t>
                          </w:r>
                          <w:r w:rsidRPr="00A6080E">
                            <w:rPr>
                              <w:rFonts w:ascii="Franklin Gothic Book" w:hAnsi="Franklin Gothic Book"/>
                              <w:color w:val="0A1938"/>
                              <w:lang w:val="pt-BR"/>
                            </w:rPr>
                            <w:t xml:space="preserve"> </w:t>
                          </w:r>
                          <w:r w:rsidRPr="00A6080E">
                            <w:rPr>
                              <w:rFonts w:ascii="Franklin Gothic Book" w:hAnsi="Franklin Gothic Book"/>
                              <w:color w:val="4F81BD" w:themeColor="accent1"/>
                              <w:lang w:val="pt-BR"/>
                            </w:rPr>
                            <w:t>10/11/2025</w:t>
                          </w:r>
                        </w:p>
                        <w:p w14:paraId="37064BDD" w14:textId="77777777" w:rsidR="00A6080E" w:rsidRPr="00A6080E" w:rsidRDefault="00A6080E" w:rsidP="00A6080E">
                          <w:pPr>
                            <w:spacing w:after="0"/>
                            <w:jc w:val="both"/>
                            <w:rPr>
                              <w:rFonts w:ascii="Franklin Gothic Book" w:hAnsi="Franklin Gothic Book"/>
                              <w:lang w:val="pt-B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63E3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24.5pt;margin-top:-22.4pt;width:312pt;height:5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" fillcolor="white [3201]" stroked="f" strokeweight=".5pt">
              <v:textbox>
                <w:txbxContent>
                  <w:p w14:paraId="10428546" w14:textId="44CC66CF" w:rsidR="00A6080E" w:rsidRPr="00A6080E" w:rsidRDefault="00A6080E" w:rsidP="00A6080E">
                    <w:pPr>
                      <w:spacing w:after="0"/>
                      <w:jc w:val="both"/>
                      <w:rPr>
                        <w:rFonts w:ascii="Franklin Gothic Book" w:hAnsi="Franklin Gothic Book"/>
                        <w:lang w:val="pt-BR"/>
                      </w:rPr>
                    </w:pPr>
                    <w:r w:rsidRPr="00A6080E">
                      <w:rPr>
                        <w:rFonts w:ascii="Franklin Gothic Book" w:hAnsi="Franklin Gothic Book"/>
                        <w:b/>
                        <w:bCs/>
                        <w:color w:val="0A1938"/>
                        <w:lang w:val="pt-BR"/>
                      </w:rPr>
                      <w:t>Procedimento:</w:t>
                    </w:r>
                    <w:r w:rsidRPr="00A6080E">
                      <w:rPr>
                        <w:rFonts w:ascii="Franklin Gothic Book" w:hAnsi="Franklin Gothic Book"/>
                        <w:color w:val="A7848B"/>
                        <w:lang w:val="pt-BR"/>
                      </w:rPr>
                      <w:t xml:space="preserve"> </w:t>
                    </w:r>
                    <w:r w:rsidRPr="00A6080E">
                      <w:rPr>
                        <w:rFonts w:ascii="Franklin Gothic Book" w:hAnsi="Franklin Gothic Book"/>
                        <w:color w:val="4F81BD" w:themeColor="accent1"/>
                        <w:lang w:val="pt-BR"/>
                      </w:rPr>
                      <w:t>MB-0012</w:t>
                    </w:r>
                    <w:r>
                      <w:rPr>
                        <w:rFonts w:ascii="Franklin Gothic Book" w:hAnsi="Franklin Gothic Book"/>
                        <w:color w:val="4F81BD" w:themeColor="accent1"/>
                        <w:lang w:val="pt-BR"/>
                      </w:rPr>
                      <w:t>4</w:t>
                    </w:r>
                  </w:p>
                  <w:p w14:paraId="62FF88DF" w14:textId="77777777" w:rsidR="00A6080E" w:rsidRPr="00A6080E" w:rsidRDefault="00A6080E" w:rsidP="00A6080E">
                    <w:pPr>
                      <w:spacing w:after="0"/>
                      <w:jc w:val="both"/>
                      <w:rPr>
                        <w:rFonts w:ascii="Franklin Gothic Book" w:hAnsi="Franklin Gothic Book"/>
                        <w:lang w:val="pt-BR"/>
                      </w:rPr>
                    </w:pPr>
                    <w:r w:rsidRPr="00A6080E">
                      <w:rPr>
                        <w:rFonts w:ascii="Franklin Gothic Book" w:hAnsi="Franklin Gothic Book"/>
                        <w:b/>
                        <w:bCs/>
                        <w:color w:val="0A1938"/>
                        <w:lang w:val="pt-BR"/>
                      </w:rPr>
                      <w:t>Versão:</w:t>
                    </w:r>
                    <w:r w:rsidRPr="00A6080E">
                      <w:rPr>
                        <w:rFonts w:ascii="Franklin Gothic Book" w:hAnsi="Franklin Gothic Book"/>
                        <w:color w:val="0A1938"/>
                        <w:lang w:val="pt-BR"/>
                      </w:rPr>
                      <w:t xml:space="preserve"> </w:t>
                    </w:r>
                    <w:r w:rsidRPr="00A6080E">
                      <w:rPr>
                        <w:rFonts w:ascii="Franklin Gothic Book" w:hAnsi="Franklin Gothic Book"/>
                        <w:color w:val="4F81BD" w:themeColor="accent1"/>
                        <w:lang w:val="pt-BR"/>
                      </w:rPr>
                      <w:t>1.0</w:t>
                    </w:r>
                  </w:p>
                  <w:p w14:paraId="0032C6EE" w14:textId="77777777" w:rsidR="00A6080E" w:rsidRPr="00A6080E" w:rsidRDefault="00A6080E" w:rsidP="00A6080E">
                    <w:pPr>
                      <w:spacing w:after="0"/>
                      <w:jc w:val="both"/>
                      <w:rPr>
                        <w:rFonts w:ascii="Franklin Gothic Book" w:hAnsi="Franklin Gothic Book"/>
                        <w:lang w:val="pt-BR"/>
                      </w:rPr>
                    </w:pPr>
                    <w:r w:rsidRPr="00A6080E">
                      <w:rPr>
                        <w:rFonts w:ascii="Franklin Gothic Book" w:hAnsi="Franklin Gothic Book"/>
                        <w:b/>
                        <w:bCs/>
                        <w:color w:val="0A1938"/>
                        <w:lang w:val="pt-BR"/>
                      </w:rPr>
                      <w:t>Data da vigência:</w:t>
                    </w:r>
                    <w:r w:rsidRPr="00A6080E">
                      <w:rPr>
                        <w:rFonts w:ascii="Franklin Gothic Book" w:hAnsi="Franklin Gothic Book"/>
                        <w:color w:val="0A1938"/>
                        <w:lang w:val="pt-BR"/>
                      </w:rPr>
                      <w:t xml:space="preserve"> </w:t>
                    </w:r>
                    <w:r w:rsidRPr="00A6080E">
                      <w:rPr>
                        <w:rFonts w:ascii="Franklin Gothic Book" w:hAnsi="Franklin Gothic Book"/>
                        <w:color w:val="4F81BD" w:themeColor="accent1"/>
                        <w:lang w:val="pt-BR"/>
                      </w:rPr>
                      <w:t>10/11/2025</w:t>
                    </w:r>
                  </w:p>
                  <w:p w14:paraId="37064BDD" w14:textId="77777777" w:rsidR="00A6080E" w:rsidRPr="00A6080E" w:rsidRDefault="00A6080E" w:rsidP="00A6080E">
                    <w:pPr>
                      <w:spacing w:after="0"/>
                      <w:jc w:val="both"/>
                      <w:rPr>
                        <w:rFonts w:ascii="Franklin Gothic Book" w:hAnsi="Franklin Gothic Book"/>
                        <w:lang w:val="pt-B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464074" wp14:editId="7B2366FF">
              <wp:simplePos x="0" y="0"/>
              <wp:positionH relativeFrom="column">
                <wp:posOffset>-565150</wp:posOffset>
              </wp:positionH>
              <wp:positionV relativeFrom="paragraph">
                <wp:posOffset>-640080</wp:posOffset>
              </wp:positionV>
              <wp:extent cx="5594350" cy="1082040"/>
              <wp:effectExtent l="0" t="0" r="6350" b="3810"/>
              <wp:wrapNone/>
              <wp:docPr id="1880562899" name="Retângulo: Cantos Arredondado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4350" cy="108204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17C4ABD5" id="Retângulo: Cantos Arredondados 3" o:spid="_x0000_s1026" style="position:absolute;margin-left:-44.5pt;margin-top:-50.4pt;width:440.5pt;height:85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" fillcolor="white [3212]" stroked="f" strokeweight="2pt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8334212" wp14:editId="017A62B7">
          <wp:simplePos x="0" y="0"/>
          <wp:positionH relativeFrom="column">
            <wp:posOffset>-914400</wp:posOffset>
          </wp:positionH>
          <wp:positionV relativeFrom="paragraph">
            <wp:posOffset>-2255231</wp:posOffset>
          </wp:positionV>
          <wp:extent cx="755650" cy="755650"/>
          <wp:effectExtent l="0" t="0" r="6350" b="6350"/>
          <wp:wrapNone/>
          <wp:docPr id="1039341058" name="Imagem 1039341058" descr="Cd com letras e números em fundo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6331060" name="Imagem 3" descr="Cd com letras e números em fundo branc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</w:p>
  <w:p w14:paraId="2A4BCE42" w14:textId="77777777" w:rsidR="00A6080E" w:rsidRDefault="00A6080E" w:rsidP="00A6080E">
    <w:pPr>
      <w:pStyle w:val="Cabealho"/>
    </w:pPr>
  </w:p>
  <w:p w14:paraId="6A69DA86" w14:textId="77777777" w:rsidR="00A6080E" w:rsidRDefault="00A608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5D44C5"/>
    <w:multiLevelType w:val="multilevel"/>
    <w:tmpl w:val="FBFC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B76F47"/>
    <w:multiLevelType w:val="multilevel"/>
    <w:tmpl w:val="6E0A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7951BC"/>
    <w:multiLevelType w:val="multilevel"/>
    <w:tmpl w:val="BF6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02608A"/>
    <w:multiLevelType w:val="multilevel"/>
    <w:tmpl w:val="AA028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E06A3A"/>
    <w:multiLevelType w:val="multilevel"/>
    <w:tmpl w:val="FFFA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B11357"/>
    <w:multiLevelType w:val="multilevel"/>
    <w:tmpl w:val="4C34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907E07"/>
    <w:multiLevelType w:val="multilevel"/>
    <w:tmpl w:val="51A6D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916BEE"/>
    <w:multiLevelType w:val="multilevel"/>
    <w:tmpl w:val="94C6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D31576"/>
    <w:multiLevelType w:val="multilevel"/>
    <w:tmpl w:val="EDD49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A2932"/>
    <w:multiLevelType w:val="multilevel"/>
    <w:tmpl w:val="32D6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A775CD"/>
    <w:multiLevelType w:val="multilevel"/>
    <w:tmpl w:val="0B12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2460DD"/>
    <w:multiLevelType w:val="hybridMultilevel"/>
    <w:tmpl w:val="786C4E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B73CD"/>
    <w:multiLevelType w:val="multilevel"/>
    <w:tmpl w:val="C04A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4599398">
    <w:abstractNumId w:val="8"/>
  </w:num>
  <w:num w:numId="2" w16cid:durableId="1699701487">
    <w:abstractNumId w:val="6"/>
  </w:num>
  <w:num w:numId="3" w16cid:durableId="1729107369">
    <w:abstractNumId w:val="5"/>
  </w:num>
  <w:num w:numId="4" w16cid:durableId="94640221">
    <w:abstractNumId w:val="4"/>
  </w:num>
  <w:num w:numId="5" w16cid:durableId="1070613294">
    <w:abstractNumId w:val="7"/>
  </w:num>
  <w:num w:numId="6" w16cid:durableId="1921256773">
    <w:abstractNumId w:val="3"/>
  </w:num>
  <w:num w:numId="7" w16cid:durableId="966206838">
    <w:abstractNumId w:val="2"/>
  </w:num>
  <w:num w:numId="8" w16cid:durableId="1502234530">
    <w:abstractNumId w:val="1"/>
  </w:num>
  <w:num w:numId="9" w16cid:durableId="777066421">
    <w:abstractNumId w:val="0"/>
  </w:num>
  <w:num w:numId="10" w16cid:durableId="1307977593">
    <w:abstractNumId w:val="20"/>
  </w:num>
  <w:num w:numId="11" w16cid:durableId="1351222547">
    <w:abstractNumId w:val="12"/>
  </w:num>
  <w:num w:numId="12" w16cid:durableId="1152407072">
    <w:abstractNumId w:val="14"/>
  </w:num>
  <w:num w:numId="13" w16cid:durableId="523518554">
    <w:abstractNumId w:val="18"/>
  </w:num>
  <w:num w:numId="14" w16cid:durableId="297614805">
    <w:abstractNumId w:val="11"/>
  </w:num>
  <w:num w:numId="15" w16cid:durableId="1243177419">
    <w:abstractNumId w:val="10"/>
  </w:num>
  <w:num w:numId="16" w16cid:durableId="1584490382">
    <w:abstractNumId w:val="16"/>
  </w:num>
  <w:num w:numId="17" w16cid:durableId="74203785">
    <w:abstractNumId w:val="9"/>
  </w:num>
  <w:num w:numId="18" w16cid:durableId="1549800403">
    <w:abstractNumId w:val="17"/>
  </w:num>
  <w:num w:numId="19" w16cid:durableId="1413088980">
    <w:abstractNumId w:val="13"/>
  </w:num>
  <w:num w:numId="20" w16cid:durableId="1351759496">
    <w:abstractNumId w:val="21"/>
  </w:num>
  <w:num w:numId="21" w16cid:durableId="1248229705">
    <w:abstractNumId w:val="19"/>
  </w:num>
  <w:num w:numId="22" w16cid:durableId="18445837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6576"/>
    <w:rsid w:val="0006063C"/>
    <w:rsid w:val="0015074B"/>
    <w:rsid w:val="001B30F1"/>
    <w:rsid w:val="0029639D"/>
    <w:rsid w:val="00306D9F"/>
    <w:rsid w:val="00326F90"/>
    <w:rsid w:val="004A4FEA"/>
    <w:rsid w:val="004E5201"/>
    <w:rsid w:val="004F34C4"/>
    <w:rsid w:val="0051009B"/>
    <w:rsid w:val="00553018"/>
    <w:rsid w:val="005A32ED"/>
    <w:rsid w:val="00640627"/>
    <w:rsid w:val="0068039B"/>
    <w:rsid w:val="007D3C43"/>
    <w:rsid w:val="009F63D5"/>
    <w:rsid w:val="00A6080E"/>
    <w:rsid w:val="00A95D4A"/>
    <w:rsid w:val="00AA1D8D"/>
    <w:rsid w:val="00B17612"/>
    <w:rsid w:val="00B47730"/>
    <w:rsid w:val="00B95A02"/>
    <w:rsid w:val="00CB0664"/>
    <w:rsid w:val="00D35AA8"/>
    <w:rsid w:val="00EF7D3E"/>
    <w:rsid w:val="00F809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10C59"/>
  <w14:defaultImageDpi w14:val="300"/>
  <w15:docId w15:val="{940E78E9-F05E-45FC-916B-08FBD2B9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0F1"/>
  </w:style>
  <w:style w:type="paragraph" w:styleId="Ttulo1">
    <w:name w:val="heading 1"/>
    <w:basedOn w:val="Normal"/>
    <w:next w:val="Normal"/>
    <w:link w:val="Ttulo1Char"/>
    <w:uiPriority w:val="9"/>
    <w:qFormat/>
    <w:rsid w:val="001B30F1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B30F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B30F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0F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0F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30F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0F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0F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0F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1B30F1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1B30F1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1B30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1B30F1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tulo">
    <w:name w:val="Title"/>
    <w:basedOn w:val="Normal"/>
    <w:next w:val="Normal"/>
    <w:link w:val="TtuloChar"/>
    <w:uiPriority w:val="10"/>
    <w:qFormat/>
    <w:rsid w:val="001B30F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tuloChar">
    <w:name w:val="Título Char"/>
    <w:basedOn w:val="Fontepargpadro"/>
    <w:link w:val="Ttulo"/>
    <w:uiPriority w:val="10"/>
    <w:rsid w:val="001B30F1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30F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B30F1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1B30F1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1B30F1"/>
    <w:rPr>
      <w:color w:val="1F497D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0F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0F1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30F1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0F1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0F1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0F1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1B30F1"/>
    <w:pPr>
      <w:spacing w:line="240" w:lineRule="auto"/>
    </w:pPr>
    <w:rPr>
      <w:b/>
      <w:bCs/>
      <w:smallCaps/>
      <w:color w:val="1F497D" w:themeColor="text2"/>
    </w:rPr>
  </w:style>
  <w:style w:type="character" w:styleId="Forte">
    <w:name w:val="Strong"/>
    <w:basedOn w:val="Fontepargpadro"/>
    <w:uiPriority w:val="22"/>
    <w:qFormat/>
    <w:rsid w:val="001B30F1"/>
    <w:rPr>
      <w:b/>
      <w:bCs/>
    </w:rPr>
  </w:style>
  <w:style w:type="character" w:styleId="nfase">
    <w:name w:val="Emphasis"/>
    <w:basedOn w:val="Fontepargpadro"/>
    <w:uiPriority w:val="20"/>
    <w:qFormat/>
    <w:rsid w:val="001B30F1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30F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30F1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1B30F1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1B30F1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1B30F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nciaIntensa">
    <w:name w:val="Intense Reference"/>
    <w:basedOn w:val="Fontepargpadro"/>
    <w:uiPriority w:val="32"/>
    <w:qFormat/>
    <w:rsid w:val="001B30F1"/>
    <w:rPr>
      <w:b/>
      <w:bCs/>
      <w:smallCaps/>
      <w:color w:val="1F497D" w:themeColor="text2"/>
      <w:u w:val="single"/>
    </w:rPr>
  </w:style>
  <w:style w:type="character" w:styleId="TtulodoLivro">
    <w:name w:val="Book Title"/>
    <w:basedOn w:val="Fontepargpadro"/>
    <w:uiPriority w:val="33"/>
    <w:qFormat/>
    <w:rsid w:val="001B30F1"/>
    <w:rPr>
      <w:b/>
      <w:bCs/>
      <w:smallCaps/>
      <w:spacing w:val="1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1B30F1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B17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Contatos">
    <w:name w:val="Contatos"/>
    <w:basedOn w:val="Normal"/>
    <w:uiPriority w:val="5"/>
    <w:qFormat/>
    <w:rsid w:val="00A6080E"/>
    <w:pPr>
      <w:spacing w:after="100" w:line="240" w:lineRule="auto"/>
      <w:jc w:val="center"/>
    </w:pPr>
    <w:rPr>
      <w:rFonts w:eastAsia="Franklin Gothic Book" w:cs="Times New Roman"/>
      <w:color w:val="1F497D" w:themeColor="text2"/>
      <w:sz w:val="20"/>
      <w:szCs w:val="2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22</Pages>
  <Words>4261</Words>
  <Characters>23012</Characters>
  <Application>Microsoft Office Word</Application>
  <DocSecurity>0</DocSecurity>
  <Lines>191</Lines>
  <Paragraphs>54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Meire Ota</cp:lastModifiedBy>
  <cp:revision>4</cp:revision>
  <dcterms:created xsi:type="dcterms:W3CDTF">2025-11-11T21:07:00Z</dcterms:created>
  <dcterms:modified xsi:type="dcterms:W3CDTF">2025-11-12T21:30:00Z</dcterms:modified>
  <cp:category/>
</cp:coreProperties>
</file>